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_GBK" w:hAnsi="方正小标宋_GBK" w:eastAsia="方正小标宋_GBK" w:cs="方正小标宋_GBK"/>
          <w:bCs/>
          <w:sz w:val="36"/>
          <w:szCs w:val="36"/>
        </w:rPr>
      </w:pPr>
      <w:bookmarkStart w:id="33" w:name="_GoBack"/>
      <w:r>
        <w:rPr>
          <w:rFonts w:hint="eastAsia" w:ascii="方正小标宋_GBK" w:hAnsi="方正小标宋_GBK" w:eastAsia="方正小标宋_GBK" w:cs="方正小标宋_GBK"/>
          <w:bCs/>
          <w:sz w:val="36"/>
          <w:szCs w:val="36"/>
        </w:rPr>
        <w:t>安徽省普通高等学校本科教育教学审核评估</w:t>
      </w:r>
    </w:p>
    <w:p>
      <w:pPr>
        <w:spacing w:line="600" w:lineRule="exact"/>
        <w:jc w:val="center"/>
        <w:rPr>
          <w:rFonts w:ascii="方正小标宋_GBK" w:hAnsi="方正小标宋_GBK" w:eastAsia="方正小标宋_GBK" w:cs="方正小标宋_GBK"/>
          <w:bCs/>
          <w:sz w:val="36"/>
          <w:szCs w:val="36"/>
        </w:rPr>
      </w:pPr>
      <w:r>
        <w:rPr>
          <w:rFonts w:hint="eastAsia" w:ascii="方正小标宋_GBK" w:hAnsi="方正小标宋_GBK" w:eastAsia="方正小标宋_GBK" w:cs="方正小标宋_GBK"/>
          <w:bCs/>
          <w:sz w:val="36"/>
          <w:szCs w:val="36"/>
        </w:rPr>
        <w:t>学校评建改工作指南（试行）</w:t>
      </w:r>
    </w:p>
    <w:bookmarkEnd w:id="33"/>
    <w:p>
      <w:pPr>
        <w:jc w:val="center"/>
        <w:rPr>
          <w:rFonts w:ascii="仿宋" w:hAnsi="仿宋" w:eastAsia="仿宋"/>
          <w:szCs w:val="21"/>
        </w:rPr>
      </w:pPr>
    </w:p>
    <w:p>
      <w:pPr>
        <w:jc w:val="center"/>
        <w:rPr>
          <w:rFonts w:ascii="黑体" w:hAnsi="黑体" w:eastAsia="黑体" w:cs="黑体"/>
          <w:sz w:val="32"/>
          <w:szCs w:val="32"/>
        </w:rPr>
      </w:pPr>
      <w:r>
        <w:rPr>
          <w:rFonts w:hint="eastAsia" w:ascii="黑体" w:hAnsi="黑体" w:eastAsia="黑体" w:cs="黑体"/>
          <w:sz w:val="32"/>
          <w:szCs w:val="32"/>
          <w:lang w:val="zh-CN"/>
        </w:rPr>
        <w:t>目</w:t>
      </w:r>
      <w:r>
        <w:rPr>
          <w:rFonts w:ascii="黑体" w:hAnsi="黑体" w:eastAsia="黑体" w:cs="黑体"/>
          <w:sz w:val="32"/>
          <w:szCs w:val="32"/>
        </w:rPr>
        <w:t xml:space="preserve">  </w:t>
      </w:r>
      <w:r>
        <w:rPr>
          <w:rFonts w:hint="eastAsia" w:ascii="黑体" w:hAnsi="黑体" w:eastAsia="黑体" w:cs="黑体"/>
          <w:sz w:val="32"/>
          <w:szCs w:val="32"/>
          <w:lang w:val="zh-CN"/>
        </w:rPr>
        <w:t>录</w:t>
      </w:r>
    </w:p>
    <w:p>
      <w:pPr>
        <w:pStyle w:val="74"/>
        <w:tabs>
          <w:tab w:val="right" w:leader="dot" w:pos="8296"/>
        </w:tabs>
        <w:rPr>
          <w:rFonts w:ascii="方正仿宋_GBK" w:hAnsi="方正仿宋_GBK" w:eastAsia="方正仿宋_GBK" w:cs="方正仿宋_GBK"/>
          <w:kern w:val="2"/>
          <w:sz w:val="21"/>
          <w:szCs w:val="21"/>
          <w:lang w:eastAsia="zh-CN"/>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"_Toc124775221" </w:instrText>
      </w:r>
      <w:r>
        <w:fldChar w:fldCharType="separate"/>
      </w:r>
      <w:r>
        <w:rPr>
          <w:rStyle w:val="98"/>
          <w:rFonts w:hint="eastAsia" w:ascii="方正仿宋_GBK" w:hAnsi="方正仿宋_GBK" w:eastAsia="方正仿宋_GBK" w:cs="方正仿宋_GBK"/>
          <w:szCs w:val="21"/>
          <w:lang w:eastAsia="zh-CN"/>
        </w:rPr>
        <w:t>安徽省普通高等学校本科教育教学审核评估</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end"/>
      </w:r>
      <w:r>
        <w:rPr>
          <w:lang w:eastAsia="zh-CN"/>
        </w:rPr>
        <w:t>1</w:t>
      </w:r>
    </w:p>
    <w:p>
      <w:pPr>
        <w:pStyle w:val="7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"_Toc124775222" </w:instrText>
      </w:r>
      <w:r>
        <w:fldChar w:fldCharType="separate"/>
      </w:r>
      <w:r>
        <w:rPr>
          <w:rStyle w:val="98"/>
          <w:rFonts w:ascii="方正仿宋_GBK" w:hAnsi="方正仿宋_GBK" w:eastAsia="方正仿宋_GBK" w:cs="方正仿宋_GBK"/>
          <w:szCs w:val="21"/>
          <w:lang w:eastAsia="zh-CN"/>
        </w:rPr>
        <w:t>1.</w:t>
      </w:r>
      <w:r>
        <w:rPr>
          <w:rStyle w:val="98"/>
          <w:rFonts w:hint="eastAsia" w:ascii="方正仿宋_GBK" w:hAnsi="方正仿宋_GBK" w:eastAsia="方正仿宋_GBK" w:cs="方正仿宋_GBK"/>
          <w:szCs w:val="21"/>
          <w:lang w:eastAsia="zh-CN"/>
        </w:rPr>
        <w:t>全面学习、准确把握新一轮审核评估精髓要义</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_Toc124775222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4</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"_Toc124775223" </w:instrText>
      </w:r>
      <w:r>
        <w:fldChar w:fldCharType="separate"/>
      </w:r>
      <w:r>
        <w:rPr>
          <w:rStyle w:val="98"/>
          <w:rFonts w:ascii="方正仿宋_GBK" w:hAnsi="方正仿宋_GBK" w:eastAsia="方正仿宋_GBK" w:cs="方正仿宋_GBK"/>
          <w:w w:val="95"/>
          <w:szCs w:val="21"/>
          <w:lang w:eastAsia="zh-CN"/>
        </w:rPr>
        <w:t>1.1</w:t>
      </w:r>
      <w:r>
        <w:rPr>
          <w:rStyle w:val="98"/>
          <w:rFonts w:hint="eastAsia" w:ascii="方正仿宋_GBK" w:hAnsi="方正仿宋_GBK" w:eastAsia="方正仿宋_GBK" w:cs="方正仿宋_GBK"/>
          <w:w w:val="95"/>
          <w:szCs w:val="21"/>
          <w:lang w:eastAsia="zh-CN"/>
        </w:rPr>
        <w:t>准确把握审核评估的新变化</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_Toc124775223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4</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"_Toc124775224" </w:instrText>
      </w:r>
      <w:r>
        <w:fldChar w:fldCharType="separate"/>
      </w:r>
      <w:r>
        <w:rPr>
          <w:rStyle w:val="98"/>
          <w:rFonts w:ascii="方正仿宋_GBK" w:hAnsi="方正仿宋_GBK" w:eastAsia="方正仿宋_GBK" w:cs="方正仿宋_GBK"/>
          <w:w w:val="95"/>
          <w:szCs w:val="21"/>
          <w:lang w:eastAsia="zh-CN"/>
        </w:rPr>
        <w:t>1.2</w:t>
      </w:r>
      <w:r>
        <w:rPr>
          <w:rStyle w:val="98"/>
          <w:rFonts w:hint="eastAsia" w:ascii="方正仿宋_GBK" w:hAnsi="方正仿宋_GBK" w:eastAsia="方正仿宋_GBK" w:cs="方正仿宋_GBK"/>
          <w:w w:val="95"/>
          <w:szCs w:val="21"/>
          <w:lang w:eastAsia="zh-CN"/>
        </w:rPr>
        <w:t>准确把握审核评估的重点要求</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_Toc124775224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5</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"_Toc124775225" </w:instrText>
      </w:r>
      <w:r>
        <w:fldChar w:fldCharType="separate"/>
      </w:r>
      <w:r>
        <w:rPr>
          <w:rStyle w:val="98"/>
          <w:rFonts w:ascii="方正仿宋_GBK" w:hAnsi="方正仿宋_GBK" w:eastAsia="方正仿宋_GBK" w:cs="方正仿宋_GBK"/>
          <w:w w:val="95"/>
          <w:szCs w:val="21"/>
          <w:lang w:eastAsia="zh-CN"/>
        </w:rPr>
        <w:t xml:space="preserve">1.3 </w:t>
      </w:r>
      <w:r>
        <w:rPr>
          <w:rStyle w:val="98"/>
          <w:rFonts w:hint="eastAsia" w:ascii="方正仿宋_GBK" w:hAnsi="方正仿宋_GBK" w:eastAsia="方正仿宋_GBK" w:cs="方正仿宋_GBK"/>
          <w:w w:val="95"/>
          <w:szCs w:val="21"/>
          <w:lang w:eastAsia="zh-CN"/>
        </w:rPr>
        <w:t>全面把握高校评建工作新要求</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_Toc124775225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6</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7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"_Toc124775226" </w:instrText>
      </w:r>
      <w:r>
        <w:fldChar w:fldCharType="separate"/>
      </w:r>
      <w:r>
        <w:rPr>
          <w:rStyle w:val="98"/>
          <w:rFonts w:ascii="方正仿宋_GBK" w:hAnsi="方正仿宋_GBK" w:eastAsia="方正仿宋_GBK" w:cs="方正仿宋_GBK"/>
          <w:szCs w:val="21"/>
          <w:lang w:eastAsia="zh-CN"/>
        </w:rPr>
        <w:t>2.</w:t>
      </w:r>
      <w:r>
        <w:rPr>
          <w:rStyle w:val="98"/>
          <w:rFonts w:hint="eastAsia" w:ascii="方正仿宋_GBK" w:hAnsi="方正仿宋_GBK" w:eastAsia="方正仿宋_GBK" w:cs="方正仿宋_GBK"/>
          <w:szCs w:val="21"/>
          <w:lang w:eastAsia="zh-CN"/>
        </w:rPr>
        <w:t>认真做好审核评估申请工作</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_Toc124775226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8</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"_Toc124775227" </w:instrText>
      </w:r>
      <w:r>
        <w:fldChar w:fldCharType="separate"/>
      </w:r>
      <w:r>
        <w:rPr>
          <w:rStyle w:val="98"/>
          <w:rFonts w:ascii="方正仿宋_GBK" w:hAnsi="方正仿宋_GBK" w:eastAsia="方正仿宋_GBK" w:cs="方正仿宋_GBK"/>
          <w:w w:val="95"/>
          <w:szCs w:val="21"/>
          <w:lang w:eastAsia="zh-CN"/>
        </w:rPr>
        <w:t>2.1</w:t>
      </w:r>
      <w:r>
        <w:rPr>
          <w:rStyle w:val="98"/>
          <w:rFonts w:hint="eastAsia" w:ascii="方正仿宋_GBK" w:hAnsi="方正仿宋_GBK" w:eastAsia="方正仿宋_GBK" w:cs="方正仿宋_GBK"/>
          <w:w w:val="95"/>
          <w:szCs w:val="21"/>
          <w:lang w:eastAsia="zh-CN"/>
        </w:rPr>
        <w:t>第一类审核评估</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_Toc124775227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8</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"_Toc124775228" </w:instrText>
      </w:r>
      <w:r>
        <w:fldChar w:fldCharType="separate"/>
      </w:r>
      <w:r>
        <w:rPr>
          <w:rStyle w:val="98"/>
          <w:rFonts w:ascii="方正仿宋_GBK" w:hAnsi="方正仿宋_GBK" w:eastAsia="方正仿宋_GBK" w:cs="方正仿宋_GBK"/>
          <w:w w:val="95"/>
          <w:szCs w:val="21"/>
          <w:lang w:eastAsia="zh-CN"/>
        </w:rPr>
        <w:t>2.2</w:t>
      </w:r>
      <w:r>
        <w:rPr>
          <w:rStyle w:val="98"/>
          <w:rFonts w:hint="eastAsia" w:ascii="方正仿宋_GBK" w:hAnsi="方正仿宋_GBK" w:eastAsia="方正仿宋_GBK" w:cs="方正仿宋_GBK"/>
          <w:w w:val="95"/>
          <w:szCs w:val="21"/>
          <w:lang w:eastAsia="zh-CN"/>
        </w:rPr>
        <w:t>第二类审核评估</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_Toc124775228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9</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7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"_Toc124775229" </w:instrText>
      </w:r>
      <w:r>
        <w:fldChar w:fldCharType="separate"/>
      </w:r>
      <w:r>
        <w:rPr>
          <w:rStyle w:val="98"/>
          <w:rFonts w:ascii="方正仿宋_GBK" w:hAnsi="方正仿宋_GBK" w:eastAsia="方正仿宋_GBK" w:cs="方正仿宋_GBK"/>
          <w:szCs w:val="21"/>
          <w:lang w:eastAsia="zh-CN"/>
        </w:rPr>
        <w:t>3.</w:t>
      </w:r>
      <w:r>
        <w:rPr>
          <w:rStyle w:val="98"/>
          <w:rFonts w:hint="eastAsia" w:ascii="方正仿宋_GBK" w:hAnsi="方正仿宋_GBK" w:eastAsia="方正仿宋_GBK" w:cs="方正仿宋_GBK"/>
          <w:szCs w:val="21"/>
          <w:lang w:eastAsia="zh-CN"/>
        </w:rPr>
        <w:t>务实高效组织自评自建工作</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_Toc124775229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9</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"_Toc124775230" </w:instrText>
      </w:r>
      <w:r>
        <w:fldChar w:fldCharType="separate"/>
      </w:r>
      <w:r>
        <w:rPr>
          <w:rStyle w:val="98"/>
          <w:rFonts w:ascii="方正仿宋_GBK" w:hAnsi="方正仿宋_GBK" w:eastAsia="方正仿宋_GBK" w:cs="方正仿宋_GBK"/>
          <w:w w:val="95"/>
          <w:szCs w:val="21"/>
          <w:lang w:eastAsia="zh-CN"/>
        </w:rPr>
        <w:t>3.1</w:t>
      </w:r>
      <w:r>
        <w:rPr>
          <w:rStyle w:val="98"/>
          <w:rFonts w:hint="eastAsia" w:ascii="方正仿宋_GBK" w:hAnsi="方正仿宋_GBK" w:eastAsia="方正仿宋_GBK" w:cs="方正仿宋_GBK"/>
          <w:w w:val="95"/>
          <w:szCs w:val="21"/>
          <w:lang w:eastAsia="zh-CN"/>
        </w:rPr>
        <w:t>建立健全组织机构</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_Toc124775230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10</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"_Toc124775231" </w:instrText>
      </w:r>
      <w:r>
        <w:fldChar w:fldCharType="separate"/>
      </w:r>
      <w:r>
        <w:rPr>
          <w:rStyle w:val="98"/>
          <w:rFonts w:ascii="方正仿宋_GBK" w:hAnsi="方正仿宋_GBK" w:eastAsia="方正仿宋_GBK" w:cs="方正仿宋_GBK"/>
          <w:w w:val="95"/>
          <w:szCs w:val="21"/>
          <w:lang w:eastAsia="zh-CN"/>
        </w:rPr>
        <w:t>3.2</w:t>
      </w:r>
      <w:r>
        <w:rPr>
          <w:rStyle w:val="98"/>
          <w:rFonts w:hint="eastAsia" w:ascii="方正仿宋_GBK" w:hAnsi="方正仿宋_GBK" w:eastAsia="方正仿宋_GBK" w:cs="方正仿宋_GBK"/>
          <w:w w:val="95"/>
          <w:szCs w:val="21"/>
          <w:lang w:eastAsia="zh-CN"/>
        </w:rPr>
        <w:t>确定审核评估方案</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_Toc124775231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11</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"_Toc124775232" </w:instrText>
      </w:r>
      <w:r>
        <w:fldChar w:fldCharType="separate"/>
      </w:r>
      <w:r>
        <w:rPr>
          <w:rStyle w:val="98"/>
          <w:rFonts w:ascii="方正仿宋_GBK" w:hAnsi="方正仿宋_GBK" w:eastAsia="方正仿宋_GBK" w:cs="方正仿宋_GBK"/>
          <w:w w:val="95"/>
          <w:szCs w:val="21"/>
          <w:lang w:eastAsia="zh-CN"/>
        </w:rPr>
        <w:t>3.3</w:t>
      </w:r>
      <w:r>
        <w:rPr>
          <w:rStyle w:val="98"/>
          <w:rFonts w:hint="eastAsia" w:ascii="方正仿宋_GBK" w:hAnsi="方正仿宋_GBK" w:eastAsia="方正仿宋_GBK" w:cs="方正仿宋_GBK"/>
          <w:w w:val="95"/>
          <w:szCs w:val="21"/>
          <w:lang w:eastAsia="zh-CN"/>
        </w:rPr>
        <w:t>落实评建改工作任务</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_Toc124775232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13</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"_Toc124775233" </w:instrText>
      </w:r>
      <w:r>
        <w:fldChar w:fldCharType="separate"/>
      </w:r>
      <w:r>
        <w:rPr>
          <w:rStyle w:val="98"/>
          <w:rFonts w:ascii="方正仿宋_GBK" w:hAnsi="方正仿宋_GBK" w:eastAsia="方正仿宋_GBK" w:cs="方正仿宋_GBK"/>
          <w:w w:val="95"/>
          <w:szCs w:val="21"/>
          <w:lang w:eastAsia="zh-CN"/>
        </w:rPr>
        <w:t>3.4</w:t>
      </w:r>
      <w:r>
        <w:rPr>
          <w:rStyle w:val="98"/>
          <w:rFonts w:hint="eastAsia" w:ascii="方正仿宋_GBK" w:hAnsi="方正仿宋_GBK" w:eastAsia="方正仿宋_GBK" w:cs="方正仿宋_GBK"/>
          <w:w w:val="95"/>
          <w:szCs w:val="21"/>
          <w:lang w:eastAsia="zh-CN"/>
        </w:rPr>
        <w:t>全面开展校内自评</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_Toc124775233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14</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7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"_Toc124775234" </w:instrText>
      </w:r>
      <w:r>
        <w:fldChar w:fldCharType="separate"/>
      </w:r>
      <w:r>
        <w:rPr>
          <w:rStyle w:val="98"/>
          <w:rFonts w:ascii="方正仿宋_GBK" w:hAnsi="方正仿宋_GBK" w:eastAsia="方正仿宋_GBK" w:cs="方正仿宋_GBK"/>
          <w:szCs w:val="21"/>
          <w:lang w:eastAsia="zh-CN"/>
        </w:rPr>
        <w:t>4.</w:t>
      </w:r>
      <w:r>
        <w:rPr>
          <w:rStyle w:val="98"/>
          <w:rFonts w:hint="eastAsia" w:ascii="方正仿宋_GBK" w:hAnsi="方正仿宋_GBK" w:eastAsia="方正仿宋_GBK" w:cs="方正仿宋_GBK"/>
          <w:szCs w:val="21"/>
          <w:lang w:eastAsia="zh-CN"/>
        </w:rPr>
        <w:t>认真撰写自评报告</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_Toc124775234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15</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"_Toc124775235" </w:instrText>
      </w:r>
      <w:r>
        <w:fldChar w:fldCharType="separate"/>
      </w:r>
      <w:r>
        <w:rPr>
          <w:rStyle w:val="98"/>
          <w:rFonts w:ascii="方正仿宋_GBK" w:hAnsi="方正仿宋_GBK" w:eastAsia="方正仿宋_GBK" w:cs="方正仿宋_GBK"/>
          <w:w w:val="95"/>
          <w:szCs w:val="21"/>
          <w:lang w:eastAsia="zh-CN"/>
        </w:rPr>
        <w:t>4.1</w:t>
      </w:r>
      <w:r>
        <w:rPr>
          <w:rStyle w:val="98"/>
          <w:rFonts w:hint="eastAsia" w:ascii="方正仿宋_GBK" w:hAnsi="方正仿宋_GBK" w:eastAsia="方正仿宋_GBK" w:cs="方正仿宋_GBK"/>
          <w:w w:val="95"/>
          <w:szCs w:val="21"/>
          <w:lang w:eastAsia="zh-CN"/>
        </w:rPr>
        <w:t>《自评报告》的形成</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_Toc124775235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15</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"_Toc124775236" </w:instrText>
      </w:r>
      <w:r>
        <w:fldChar w:fldCharType="separate"/>
      </w:r>
      <w:r>
        <w:rPr>
          <w:rStyle w:val="98"/>
          <w:rFonts w:ascii="方正仿宋_GBK" w:hAnsi="方正仿宋_GBK" w:eastAsia="方正仿宋_GBK" w:cs="方正仿宋_GBK"/>
          <w:w w:val="95"/>
          <w:szCs w:val="21"/>
          <w:lang w:eastAsia="zh-CN"/>
        </w:rPr>
        <w:t>4.2</w:t>
      </w:r>
      <w:r>
        <w:rPr>
          <w:rStyle w:val="98"/>
          <w:rFonts w:hint="eastAsia" w:ascii="方正仿宋_GBK" w:hAnsi="方正仿宋_GBK" w:eastAsia="方正仿宋_GBK" w:cs="方正仿宋_GBK"/>
          <w:w w:val="95"/>
          <w:szCs w:val="21"/>
          <w:lang w:eastAsia="zh-CN"/>
        </w:rPr>
        <w:t>《自评报告》的撰写要求</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_Toc124775236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15</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"_Toc124775237" </w:instrText>
      </w:r>
      <w:r>
        <w:fldChar w:fldCharType="separate"/>
      </w:r>
      <w:r>
        <w:rPr>
          <w:rStyle w:val="98"/>
          <w:rFonts w:ascii="方正仿宋_GBK" w:hAnsi="方正仿宋_GBK" w:eastAsia="方正仿宋_GBK" w:cs="方正仿宋_GBK"/>
          <w:w w:val="95"/>
          <w:szCs w:val="21"/>
          <w:lang w:eastAsia="zh-CN"/>
        </w:rPr>
        <w:t>4.3</w:t>
      </w:r>
      <w:r>
        <w:rPr>
          <w:rStyle w:val="98"/>
          <w:rFonts w:hint="eastAsia" w:ascii="方正仿宋_GBK" w:hAnsi="方正仿宋_GBK" w:eastAsia="方正仿宋_GBK" w:cs="方正仿宋_GBK"/>
          <w:w w:val="95"/>
          <w:szCs w:val="21"/>
          <w:lang w:eastAsia="zh-CN"/>
        </w:rPr>
        <w:t>《自评报告》的支撑材料</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_Toc124775237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17</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"_Toc124775238" </w:instrText>
      </w:r>
      <w:r>
        <w:fldChar w:fldCharType="separate"/>
      </w:r>
      <w:r>
        <w:rPr>
          <w:rStyle w:val="98"/>
          <w:rFonts w:ascii="方正仿宋_GBK" w:hAnsi="方正仿宋_GBK" w:eastAsia="方正仿宋_GBK" w:cs="方正仿宋_GBK"/>
          <w:w w:val="95"/>
          <w:szCs w:val="21"/>
          <w:lang w:eastAsia="zh-CN"/>
        </w:rPr>
        <w:t>4.4</w:t>
      </w:r>
      <w:r>
        <w:rPr>
          <w:rStyle w:val="98"/>
          <w:rFonts w:hint="eastAsia" w:ascii="方正仿宋_GBK" w:hAnsi="方正仿宋_GBK" w:eastAsia="方正仿宋_GBK" w:cs="方正仿宋_GBK"/>
          <w:w w:val="95"/>
          <w:szCs w:val="21"/>
          <w:lang w:eastAsia="zh-CN"/>
        </w:rPr>
        <w:t>材料递交与审核</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_Toc124775238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17</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7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"_Toc124775239" </w:instrText>
      </w:r>
      <w:r>
        <w:fldChar w:fldCharType="separate"/>
      </w:r>
      <w:r>
        <w:rPr>
          <w:rStyle w:val="98"/>
          <w:rFonts w:ascii="方正仿宋_GBK" w:hAnsi="方正仿宋_GBK" w:eastAsia="方正仿宋_GBK" w:cs="方正仿宋_GBK"/>
          <w:szCs w:val="21"/>
          <w:lang w:eastAsia="zh-CN"/>
        </w:rPr>
        <w:t>5.</w:t>
      </w:r>
      <w:r>
        <w:rPr>
          <w:rStyle w:val="98"/>
          <w:rFonts w:hint="eastAsia" w:ascii="方正仿宋_GBK" w:hAnsi="方正仿宋_GBK" w:eastAsia="方正仿宋_GBK" w:cs="方正仿宋_GBK"/>
          <w:szCs w:val="21"/>
          <w:lang w:eastAsia="zh-CN"/>
        </w:rPr>
        <w:t>如实准确填报教育教学基本状态数据</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_Toc124775239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18</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"_Toc124775240" </w:instrText>
      </w:r>
      <w:r>
        <w:fldChar w:fldCharType="separate"/>
      </w:r>
      <w:r>
        <w:rPr>
          <w:rStyle w:val="98"/>
          <w:rFonts w:ascii="方正仿宋_GBK" w:hAnsi="方正仿宋_GBK" w:eastAsia="方正仿宋_GBK" w:cs="方正仿宋_GBK"/>
          <w:w w:val="95"/>
          <w:szCs w:val="21"/>
          <w:lang w:eastAsia="zh-CN"/>
        </w:rPr>
        <w:t>5.1</w:t>
      </w:r>
      <w:r>
        <w:rPr>
          <w:rStyle w:val="98"/>
          <w:rFonts w:hint="eastAsia" w:ascii="方正仿宋_GBK" w:hAnsi="方正仿宋_GBK" w:eastAsia="方正仿宋_GBK" w:cs="方正仿宋_GBK"/>
          <w:w w:val="95"/>
          <w:szCs w:val="21"/>
          <w:lang w:eastAsia="zh-CN"/>
        </w:rPr>
        <w:t>高等教育质量监测国家数据平台</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_Toc124775240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18</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"_Toc124775241" </w:instrText>
      </w:r>
      <w:r>
        <w:fldChar w:fldCharType="separate"/>
      </w:r>
      <w:r>
        <w:rPr>
          <w:rStyle w:val="98"/>
          <w:rFonts w:ascii="方正仿宋_GBK" w:hAnsi="方正仿宋_GBK" w:eastAsia="方正仿宋_GBK" w:cs="方正仿宋_GBK"/>
          <w:w w:val="95"/>
          <w:szCs w:val="21"/>
          <w:lang w:eastAsia="zh-CN"/>
        </w:rPr>
        <w:t>5.2</w:t>
      </w:r>
      <w:r>
        <w:rPr>
          <w:rStyle w:val="98"/>
          <w:rFonts w:hint="eastAsia" w:ascii="方正仿宋_GBK" w:hAnsi="方正仿宋_GBK" w:eastAsia="方正仿宋_GBK" w:cs="方正仿宋_GBK"/>
          <w:w w:val="95"/>
          <w:szCs w:val="21"/>
          <w:lang w:eastAsia="zh-CN"/>
        </w:rPr>
        <w:t>学校数据填报要求</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_Toc124775241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18</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7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"_Toc124775242" </w:instrText>
      </w:r>
      <w:r>
        <w:fldChar w:fldCharType="separate"/>
      </w:r>
      <w:r>
        <w:rPr>
          <w:rStyle w:val="98"/>
          <w:rFonts w:ascii="方正仿宋_GBK" w:hAnsi="方正仿宋_GBK" w:eastAsia="方正仿宋_GBK" w:cs="方正仿宋_GBK"/>
          <w:szCs w:val="21"/>
          <w:lang w:eastAsia="zh-CN"/>
        </w:rPr>
        <w:t>6.</w:t>
      </w:r>
      <w:r>
        <w:rPr>
          <w:rStyle w:val="98"/>
          <w:rFonts w:hint="eastAsia" w:ascii="方正仿宋_GBK" w:hAnsi="方正仿宋_GBK" w:eastAsia="方正仿宋_GBK" w:cs="方正仿宋_GBK"/>
          <w:szCs w:val="21"/>
          <w:lang w:eastAsia="zh-CN"/>
        </w:rPr>
        <w:t>认真准备评估材料</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_Toc124775242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20</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"_Toc124775243" </w:instrText>
      </w:r>
      <w:r>
        <w:fldChar w:fldCharType="separate"/>
      </w:r>
      <w:r>
        <w:rPr>
          <w:rStyle w:val="98"/>
          <w:rFonts w:ascii="方正仿宋_GBK" w:hAnsi="方正仿宋_GBK" w:eastAsia="方正仿宋_GBK" w:cs="方正仿宋_GBK"/>
          <w:w w:val="95"/>
          <w:szCs w:val="21"/>
          <w:lang w:eastAsia="zh-CN"/>
        </w:rPr>
        <w:t>6.1</w:t>
      </w:r>
      <w:r>
        <w:rPr>
          <w:rStyle w:val="98"/>
          <w:rFonts w:hint="eastAsia" w:ascii="方正仿宋_GBK" w:hAnsi="方正仿宋_GBK" w:eastAsia="方正仿宋_GBK" w:cs="方正仿宋_GBK"/>
          <w:w w:val="95"/>
          <w:szCs w:val="21"/>
          <w:lang w:eastAsia="zh-CN"/>
        </w:rPr>
        <w:t>教学档案的准备</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_Toc124775243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20</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"_Toc124775244" </w:instrText>
      </w:r>
      <w:r>
        <w:fldChar w:fldCharType="separate"/>
      </w:r>
      <w:r>
        <w:rPr>
          <w:rStyle w:val="98"/>
          <w:rFonts w:ascii="方正仿宋_GBK" w:hAnsi="方正仿宋_GBK" w:eastAsia="方正仿宋_GBK" w:cs="方正仿宋_GBK"/>
          <w:w w:val="95"/>
          <w:szCs w:val="21"/>
          <w:lang w:eastAsia="zh-CN"/>
        </w:rPr>
        <w:t>6.2</w:t>
      </w:r>
      <w:r>
        <w:rPr>
          <w:rStyle w:val="98"/>
          <w:rFonts w:hint="eastAsia" w:ascii="方正仿宋_GBK" w:hAnsi="方正仿宋_GBK" w:eastAsia="方正仿宋_GBK" w:cs="方正仿宋_GBK"/>
          <w:w w:val="95"/>
          <w:szCs w:val="21"/>
          <w:lang w:eastAsia="zh-CN"/>
        </w:rPr>
        <w:t>支撑材料的准备</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_Toc124775244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20</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"_Toc124775245" </w:instrText>
      </w:r>
      <w:r>
        <w:fldChar w:fldCharType="separate"/>
      </w:r>
      <w:r>
        <w:rPr>
          <w:rStyle w:val="98"/>
          <w:rFonts w:ascii="方正仿宋_GBK" w:hAnsi="方正仿宋_GBK" w:eastAsia="方正仿宋_GBK" w:cs="方正仿宋_GBK"/>
          <w:w w:val="95"/>
          <w:szCs w:val="21"/>
          <w:lang w:eastAsia="zh-CN"/>
        </w:rPr>
        <w:t>6.3</w:t>
      </w:r>
      <w:r>
        <w:rPr>
          <w:rStyle w:val="98"/>
          <w:rFonts w:hint="eastAsia" w:ascii="方正仿宋_GBK" w:hAnsi="方正仿宋_GBK" w:eastAsia="方正仿宋_GBK" w:cs="方正仿宋_GBK"/>
          <w:w w:val="95"/>
          <w:szCs w:val="21"/>
          <w:lang w:eastAsia="zh-CN"/>
        </w:rPr>
        <w:t>线上评估材料的准备与提交</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_Toc124775245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20</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7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"_Toc124775246" </w:instrText>
      </w:r>
      <w:r>
        <w:fldChar w:fldCharType="separate"/>
      </w:r>
      <w:r>
        <w:rPr>
          <w:rStyle w:val="98"/>
          <w:rFonts w:ascii="方正仿宋_GBK" w:hAnsi="方正仿宋_GBK" w:eastAsia="方正仿宋_GBK" w:cs="方正仿宋_GBK"/>
          <w:szCs w:val="21"/>
          <w:lang w:eastAsia="zh-CN"/>
        </w:rPr>
        <w:t>7.</w:t>
      </w:r>
      <w:r>
        <w:rPr>
          <w:rStyle w:val="98"/>
          <w:rFonts w:hint="eastAsia" w:ascii="方正仿宋_GBK" w:hAnsi="方正仿宋_GBK" w:eastAsia="方正仿宋_GBK" w:cs="方正仿宋_GBK"/>
          <w:szCs w:val="21"/>
          <w:lang w:eastAsia="zh-CN"/>
        </w:rPr>
        <w:t>扎实做好评估整改工作</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_Toc124775246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21</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"_Toc124775247" </w:instrText>
      </w:r>
      <w:r>
        <w:fldChar w:fldCharType="separate"/>
      </w:r>
      <w:r>
        <w:rPr>
          <w:rStyle w:val="98"/>
          <w:rFonts w:ascii="方正仿宋_GBK" w:hAnsi="方正仿宋_GBK" w:eastAsia="方正仿宋_GBK" w:cs="方正仿宋_GBK"/>
          <w:w w:val="95"/>
          <w:szCs w:val="21"/>
          <w:lang w:eastAsia="zh-CN"/>
        </w:rPr>
        <w:t>7.1</w:t>
      </w:r>
      <w:r>
        <w:rPr>
          <w:rStyle w:val="98"/>
          <w:rFonts w:hint="eastAsia" w:ascii="方正仿宋_GBK" w:hAnsi="方正仿宋_GBK" w:eastAsia="方正仿宋_GBK" w:cs="方正仿宋_GBK"/>
          <w:w w:val="95"/>
          <w:szCs w:val="21"/>
          <w:lang w:eastAsia="zh-CN"/>
        </w:rPr>
        <w:t>梳理问题，分析根源，制定整改工作方案</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_Toc124775247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21</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"_Toc124775248" </w:instrText>
      </w:r>
      <w:r>
        <w:fldChar w:fldCharType="separate"/>
      </w:r>
      <w:r>
        <w:rPr>
          <w:rStyle w:val="98"/>
          <w:rFonts w:ascii="方正仿宋_GBK" w:hAnsi="方正仿宋_GBK" w:eastAsia="方正仿宋_GBK" w:cs="方正仿宋_GBK"/>
          <w:w w:val="95"/>
          <w:szCs w:val="21"/>
          <w:lang w:eastAsia="zh-CN"/>
        </w:rPr>
        <w:t>7.2</w:t>
      </w:r>
      <w:r>
        <w:rPr>
          <w:rStyle w:val="98"/>
          <w:rFonts w:hint="eastAsia" w:ascii="方正仿宋_GBK" w:hAnsi="方正仿宋_GBK" w:eastAsia="方正仿宋_GBK" w:cs="方正仿宋_GBK"/>
          <w:w w:val="95"/>
          <w:szCs w:val="21"/>
          <w:lang w:eastAsia="zh-CN"/>
        </w:rPr>
        <w:t>建立机制，落实整改工作任务</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_Toc124775248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23</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4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"_Toc124775249" </w:instrText>
      </w:r>
      <w:r>
        <w:fldChar w:fldCharType="separate"/>
      </w:r>
      <w:r>
        <w:rPr>
          <w:rStyle w:val="98"/>
          <w:rFonts w:ascii="方正仿宋_GBK" w:hAnsi="方正仿宋_GBK" w:eastAsia="方正仿宋_GBK" w:cs="方正仿宋_GBK"/>
          <w:w w:val="95"/>
          <w:szCs w:val="21"/>
          <w:lang w:eastAsia="zh-CN"/>
        </w:rPr>
        <w:t>7.3</w:t>
      </w:r>
      <w:r>
        <w:rPr>
          <w:rStyle w:val="98"/>
          <w:rFonts w:hint="eastAsia" w:ascii="方正仿宋_GBK" w:hAnsi="方正仿宋_GBK" w:eastAsia="方正仿宋_GBK" w:cs="方正仿宋_GBK"/>
          <w:w w:val="95"/>
          <w:szCs w:val="21"/>
          <w:lang w:eastAsia="zh-CN"/>
        </w:rPr>
        <w:t>认真总结，撰写整改报告</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_Toc124775249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23</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7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"_Toc124775250" </w:instrText>
      </w:r>
      <w:r>
        <w:fldChar w:fldCharType="separate"/>
      </w:r>
      <w:r>
        <w:rPr>
          <w:rStyle w:val="98"/>
          <w:rFonts w:hint="eastAsia" w:ascii="方正仿宋_GBK" w:hAnsi="方正仿宋_GBK" w:eastAsia="方正仿宋_GBK" w:cs="方正仿宋_GBK"/>
          <w:szCs w:val="21"/>
          <w:lang w:eastAsia="zh-CN"/>
        </w:rPr>
        <w:t>附件</w:t>
      </w:r>
      <w:r>
        <w:rPr>
          <w:rStyle w:val="98"/>
          <w:rFonts w:ascii="方正仿宋_GBK" w:hAnsi="方正仿宋_GBK" w:eastAsia="方正仿宋_GBK" w:cs="方正仿宋_GBK"/>
          <w:szCs w:val="21"/>
          <w:lang w:eastAsia="zh-CN"/>
        </w:rPr>
        <w:t>1.</w:t>
      </w:r>
      <w:r>
        <w:rPr>
          <w:rStyle w:val="98"/>
          <w:rFonts w:hint="eastAsia" w:ascii="方正仿宋_GBK" w:hAnsi="方正仿宋_GBK" w:eastAsia="方正仿宋_GBK" w:cs="方正仿宋_GBK"/>
          <w:szCs w:val="21"/>
          <w:lang w:eastAsia="zh-CN"/>
        </w:rPr>
        <w:t>普通高等学校本科教育教学审核评估申请报告</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_Toc124775250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25</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7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"_Toc124775251" </w:instrText>
      </w:r>
      <w:r>
        <w:fldChar w:fldCharType="separate"/>
      </w:r>
      <w:r>
        <w:rPr>
          <w:rStyle w:val="98"/>
          <w:rFonts w:hint="eastAsia" w:ascii="方正仿宋_GBK" w:hAnsi="方正仿宋_GBK" w:eastAsia="方正仿宋_GBK" w:cs="方正仿宋_GBK"/>
          <w:szCs w:val="21"/>
          <w:lang w:eastAsia="zh-CN"/>
        </w:rPr>
        <w:t>附件</w:t>
      </w:r>
      <w:r>
        <w:rPr>
          <w:rStyle w:val="98"/>
          <w:rFonts w:ascii="方正仿宋_GBK" w:hAnsi="方正仿宋_GBK" w:eastAsia="方正仿宋_GBK" w:cs="方正仿宋_GBK"/>
          <w:szCs w:val="21"/>
          <w:lang w:eastAsia="zh-CN"/>
        </w:rPr>
        <w:t>2.</w:t>
      </w:r>
      <w:r>
        <w:rPr>
          <w:rStyle w:val="98"/>
          <w:rFonts w:hint="eastAsia" w:ascii="方正仿宋_GBK" w:hAnsi="方正仿宋_GBK" w:eastAsia="方正仿宋_GBK" w:cs="方正仿宋_GBK"/>
          <w:szCs w:val="21"/>
          <w:lang w:eastAsia="zh-CN"/>
        </w:rPr>
        <w:t>上一轮审核评估《整改情况说明》撰写指导</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_Toc124775251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34</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7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"_Toc124775252" </w:instrText>
      </w:r>
      <w:r>
        <w:fldChar w:fldCharType="separate"/>
      </w:r>
      <w:r>
        <w:rPr>
          <w:rStyle w:val="98"/>
          <w:rFonts w:hint="eastAsia" w:ascii="方正仿宋_GBK" w:hAnsi="方正仿宋_GBK" w:eastAsia="方正仿宋_GBK" w:cs="方正仿宋_GBK"/>
          <w:szCs w:val="21"/>
          <w:lang w:eastAsia="zh-CN"/>
        </w:rPr>
        <w:t>附件</w:t>
      </w:r>
      <w:r>
        <w:rPr>
          <w:rStyle w:val="98"/>
          <w:rFonts w:ascii="方正仿宋_GBK" w:hAnsi="方正仿宋_GBK" w:eastAsia="方正仿宋_GBK" w:cs="方正仿宋_GBK"/>
          <w:szCs w:val="21"/>
          <w:lang w:eastAsia="zh-CN"/>
        </w:rPr>
        <w:t>3.</w:t>
      </w:r>
      <w:r>
        <w:rPr>
          <w:rStyle w:val="98"/>
          <w:rFonts w:hint="eastAsia" w:ascii="方正仿宋_GBK" w:hAnsi="方正仿宋_GBK" w:eastAsia="方正仿宋_GBK" w:cs="方正仿宋_GBK"/>
          <w:szCs w:val="21"/>
          <w:lang w:eastAsia="zh-CN"/>
        </w:rPr>
        <w:t>审核评估《自评报告》撰写指导</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_Toc124775252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35</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74"/>
        <w:tabs>
          <w:tab w:val="right" w:leader="dot" w:pos="8296"/>
        </w:tabs>
        <w:rPr>
          <w:rFonts w:ascii="方正仿宋_GBK" w:hAnsi="方正仿宋_GBK" w:eastAsia="方正仿宋_GBK" w:cs="方正仿宋_GBK"/>
          <w:kern w:val="2"/>
          <w:sz w:val="21"/>
          <w:szCs w:val="21"/>
          <w:lang w:eastAsia="zh-CN"/>
        </w:rPr>
      </w:pPr>
      <w:r>
        <w:fldChar w:fldCharType="begin"/>
      </w:r>
      <w:r>
        <w:instrText xml:space="preserve"> HYPERLINK \l "_Toc124775253" </w:instrText>
      </w:r>
      <w:r>
        <w:fldChar w:fldCharType="separate"/>
      </w:r>
      <w:r>
        <w:rPr>
          <w:rStyle w:val="98"/>
          <w:rFonts w:hint="eastAsia" w:ascii="方正仿宋_GBK" w:hAnsi="方正仿宋_GBK" w:eastAsia="方正仿宋_GBK" w:cs="方正仿宋_GBK"/>
          <w:szCs w:val="21"/>
          <w:lang w:eastAsia="zh-CN"/>
        </w:rPr>
        <w:t>附件</w:t>
      </w:r>
      <w:r>
        <w:rPr>
          <w:rStyle w:val="98"/>
          <w:rFonts w:ascii="方正仿宋_GBK" w:hAnsi="方正仿宋_GBK" w:eastAsia="方正仿宋_GBK" w:cs="方正仿宋_GBK"/>
          <w:szCs w:val="21"/>
          <w:lang w:eastAsia="zh-CN"/>
        </w:rPr>
        <w:t>4.</w:t>
      </w:r>
      <w:r>
        <w:rPr>
          <w:rStyle w:val="98"/>
          <w:rFonts w:hint="eastAsia" w:ascii="方正仿宋_GBK" w:hAnsi="方正仿宋_GBK" w:eastAsia="方正仿宋_GBK" w:cs="方正仿宋_GBK"/>
          <w:szCs w:val="21"/>
          <w:lang w:eastAsia="zh-CN"/>
        </w:rPr>
        <w:t>《审核评估整改方案》撰写指导</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_Toc124775253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52</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pPr>
        <w:pStyle w:val="74"/>
        <w:tabs>
          <w:tab w:val="right" w:leader="dot" w:pos="8296"/>
        </w:tabs>
        <w:rPr>
          <w:rFonts w:ascii="Calibri" w:hAnsi="Calibri" w:cs="Times New Roman"/>
          <w:kern w:val="2"/>
          <w:sz w:val="21"/>
          <w:lang w:eastAsia="zh-CN"/>
        </w:rPr>
      </w:pPr>
      <w:r>
        <w:fldChar w:fldCharType="begin"/>
      </w:r>
      <w:r>
        <w:instrText xml:space="preserve"> HYPERLINK \l "_Toc124775254" </w:instrText>
      </w:r>
      <w:r>
        <w:fldChar w:fldCharType="separate"/>
      </w:r>
      <w:r>
        <w:rPr>
          <w:rStyle w:val="98"/>
          <w:rFonts w:hint="eastAsia" w:ascii="方正仿宋_GBK" w:hAnsi="方正仿宋_GBK" w:eastAsia="方正仿宋_GBK" w:cs="方正仿宋_GBK"/>
          <w:szCs w:val="21"/>
          <w:lang w:eastAsia="zh-CN"/>
        </w:rPr>
        <w:t>附件</w:t>
      </w:r>
      <w:r>
        <w:rPr>
          <w:rStyle w:val="98"/>
          <w:rFonts w:ascii="方正仿宋_GBK" w:hAnsi="方正仿宋_GBK" w:eastAsia="方正仿宋_GBK" w:cs="方正仿宋_GBK"/>
          <w:szCs w:val="21"/>
          <w:lang w:eastAsia="zh-CN"/>
        </w:rPr>
        <w:t>5.</w:t>
      </w:r>
      <w:r>
        <w:rPr>
          <w:rStyle w:val="98"/>
          <w:rFonts w:hint="eastAsia" w:ascii="方正仿宋_GBK" w:hAnsi="方正仿宋_GBK" w:eastAsia="方正仿宋_GBK" w:cs="方正仿宋_GBK"/>
          <w:szCs w:val="21"/>
          <w:lang w:eastAsia="zh-CN"/>
        </w:rPr>
        <w:t>《审核评估整改报告》撰写指导</w:t>
      </w:r>
      <w:r>
        <w:rPr>
          <w:rFonts w:ascii="方正仿宋_GBK" w:hAnsi="方正仿宋_GBK" w:eastAsia="方正仿宋_GBK" w:cs="方正仿宋_GBK"/>
          <w:sz w:val="21"/>
          <w:szCs w:val="21"/>
        </w:rPr>
        <w:tab/>
      </w:r>
      <w:r>
        <w:rPr>
          <w:rFonts w:ascii="方正仿宋_GBK" w:hAnsi="方正仿宋_GBK" w:eastAsia="方正仿宋_GBK" w:cs="方正仿宋_GBK"/>
          <w:sz w:val="21"/>
          <w:szCs w:val="21"/>
        </w:rPr>
        <w:fldChar w:fldCharType="begin"/>
      </w:r>
      <w:r>
        <w:rPr>
          <w:rFonts w:ascii="方正仿宋_GBK" w:hAnsi="方正仿宋_GBK" w:eastAsia="方正仿宋_GBK" w:cs="方正仿宋_GBK"/>
          <w:sz w:val="21"/>
          <w:szCs w:val="21"/>
        </w:rPr>
        <w:instrText xml:space="preserve"> PAGEREF _Toc124775254 \h </w:instrText>
      </w:r>
      <w:r>
        <w:rPr>
          <w:rFonts w:ascii="方正仿宋_GBK" w:hAnsi="方正仿宋_GBK" w:eastAsia="方正仿宋_GBK" w:cs="方正仿宋_GBK"/>
          <w:sz w:val="21"/>
          <w:szCs w:val="21"/>
        </w:rPr>
        <w:fldChar w:fldCharType="separate"/>
      </w:r>
      <w:r>
        <w:rPr>
          <w:rFonts w:ascii="方正仿宋_GBK" w:hAnsi="方正仿宋_GBK" w:eastAsia="方正仿宋_GBK" w:cs="方正仿宋_GBK"/>
          <w:sz w:val="21"/>
          <w:szCs w:val="21"/>
        </w:rPr>
        <w:t>56</w:t>
      </w:r>
      <w:r>
        <w:rPr>
          <w:rFonts w:ascii="方正仿宋_GBK" w:hAnsi="方正仿宋_GBK" w:eastAsia="方正仿宋_GBK" w:cs="方正仿宋_GBK"/>
          <w:sz w:val="21"/>
          <w:szCs w:val="21"/>
        </w:rPr>
        <w:fldChar w:fldCharType="end"/>
      </w:r>
      <w:r>
        <w:rPr>
          <w:rFonts w:ascii="方正仿宋_GBK" w:hAnsi="方正仿宋_GBK" w:eastAsia="方正仿宋_GBK" w:cs="方正仿宋_GBK"/>
          <w:sz w:val="21"/>
          <w:szCs w:val="21"/>
        </w:rPr>
        <w:fldChar w:fldCharType="end"/>
      </w:r>
    </w:p>
    <w:p>
      <w:r>
        <w:rPr>
          <w:b/>
          <w:bCs/>
          <w:lang w:val="zh-CN"/>
        </w:rPr>
        <w:fldChar w:fldCharType="end"/>
      </w:r>
    </w:p>
    <w:p>
      <w:pPr>
        <w:spacing w:before="312" w:beforeLines="100" w:after="312" w:afterLines="100" w:line="360" w:lineRule="auto"/>
        <w:jc w:val="center"/>
        <w:rPr>
          <w:rFonts w:ascii="黑体" w:hAnsi="黑体" w:eastAsia="黑体"/>
          <w:sz w:val="36"/>
          <w:szCs w:val="36"/>
        </w:rPr>
      </w:pPr>
      <w:r>
        <w:rPr>
          <w:rFonts w:ascii="黑体" w:hAnsi="黑体" w:eastAsia="黑体"/>
          <w:sz w:val="32"/>
          <w:szCs w:val="32"/>
        </w:rPr>
        <w:br w:type="page"/>
      </w:r>
      <w:r>
        <w:rPr>
          <w:rFonts w:hint="eastAsia" w:ascii="方正小标宋_GBK" w:hAnsi="方正小标宋_GBK" w:eastAsia="方正小标宋_GBK" w:cs="方正小标宋_GBK"/>
          <w:sz w:val="36"/>
          <w:szCs w:val="36"/>
        </w:rPr>
        <w:t>安徽省普通高等学校本科教育教学审核评估（</w:t>
      </w:r>
      <w:r>
        <w:rPr>
          <w:rFonts w:ascii="方正小标宋_GBK" w:hAnsi="方正小标宋_GBK" w:eastAsia="方正小标宋_GBK" w:cs="方正小标宋_GBK"/>
          <w:sz w:val="36"/>
          <w:szCs w:val="36"/>
        </w:rPr>
        <w:t>2021-2025</w:t>
      </w:r>
      <w:r>
        <w:rPr>
          <w:rFonts w:hint="eastAsia" w:ascii="方正小标宋_GBK" w:hAnsi="方正小标宋_GBK" w:eastAsia="方正小标宋_GBK" w:cs="方正小标宋_GBK"/>
          <w:sz w:val="36"/>
          <w:szCs w:val="36"/>
        </w:rPr>
        <w:t>年）学校评建改工作指南</w:t>
      </w:r>
    </w:p>
    <w:p>
      <w:pPr>
        <w:pStyle w:val="2"/>
        <w:spacing w:line="560"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根据《教育部关于印发</w:t>
      </w:r>
      <w:r>
        <w:rPr>
          <w:rFonts w:ascii="方正仿宋_GBK" w:hAnsi="方正仿宋_GBK" w:eastAsia="方正仿宋_GBK" w:cs="方正仿宋_GBK"/>
          <w:sz w:val="32"/>
          <w:szCs w:val="32"/>
        </w:rPr>
        <w:t>&lt;</w:t>
      </w:r>
      <w:r>
        <w:rPr>
          <w:rFonts w:hint="eastAsia" w:ascii="方正仿宋_GBK" w:hAnsi="方正仿宋_GBK" w:eastAsia="方正仿宋_GBK" w:cs="方正仿宋_GBK"/>
          <w:sz w:val="32"/>
          <w:szCs w:val="32"/>
        </w:rPr>
        <w:t>普通高等学校本科教育教学审核评估实施方案（</w:t>
      </w:r>
      <w:r>
        <w:rPr>
          <w:rFonts w:ascii="方正仿宋_GBK" w:hAnsi="方正仿宋_GBK" w:eastAsia="方正仿宋_GBK" w:cs="方正仿宋_GBK"/>
          <w:sz w:val="32"/>
          <w:szCs w:val="32"/>
        </w:rPr>
        <w:t>2021—2025</w:t>
      </w:r>
      <w:r>
        <w:rPr>
          <w:rFonts w:hint="eastAsia" w:ascii="方正仿宋_GBK" w:hAnsi="方正仿宋_GBK" w:eastAsia="方正仿宋_GBK" w:cs="方正仿宋_GBK"/>
          <w:sz w:val="32"/>
          <w:szCs w:val="32"/>
        </w:rPr>
        <w:t>年）</w:t>
      </w:r>
      <w:r>
        <w:rPr>
          <w:rFonts w:ascii="方正仿宋_GBK" w:hAnsi="方正仿宋_GBK" w:eastAsia="方正仿宋_GBK" w:cs="方正仿宋_GBK"/>
          <w:sz w:val="32"/>
          <w:szCs w:val="32"/>
        </w:rPr>
        <w:t>&gt;</w:t>
      </w:r>
      <w:r>
        <w:rPr>
          <w:rFonts w:hint="eastAsia" w:ascii="方正仿宋_GBK" w:hAnsi="方正仿宋_GBK" w:eastAsia="方正仿宋_GBK" w:cs="方正仿宋_GBK"/>
          <w:sz w:val="32"/>
          <w:szCs w:val="32"/>
        </w:rPr>
        <w:t>的通知》（教督〔</w:t>
      </w:r>
      <w:r>
        <w:rPr>
          <w:rFonts w:ascii="方正仿宋_GBK" w:hAnsi="方正仿宋_GBK" w:eastAsia="方正仿宋_GBK" w:cs="方正仿宋_GBK"/>
          <w:sz w:val="32"/>
          <w:szCs w:val="32"/>
        </w:rPr>
        <w:t>2021</w:t>
      </w:r>
      <w:r>
        <w:rPr>
          <w:rFonts w:hint="eastAsia" w:ascii="方正仿宋_GBK" w:hAnsi="方正仿宋_GBK" w:eastAsia="方正仿宋_GBK" w:cs="方正仿宋_GBK"/>
          <w:sz w:val="32"/>
          <w:szCs w:val="32"/>
        </w:rPr>
        <w:t>〕</w:t>
      </w:r>
      <w:r>
        <w:rPr>
          <w:rFonts w:ascii="方正仿宋_GBK" w:hAnsi="方正仿宋_GBK" w:eastAsia="方正仿宋_GBK" w:cs="方正仿宋_GBK"/>
          <w:sz w:val="32"/>
          <w:szCs w:val="32"/>
        </w:rPr>
        <w:t>1</w:t>
      </w:r>
      <w:r>
        <w:rPr>
          <w:rFonts w:hint="eastAsia" w:ascii="方正仿宋_GBK" w:hAnsi="方正仿宋_GBK" w:eastAsia="方正仿宋_GBK" w:cs="方正仿宋_GBK"/>
          <w:sz w:val="32"/>
          <w:szCs w:val="32"/>
        </w:rPr>
        <w:t>号）和安徽省教育厅制定的《安徽省普通高等学校本科教育教学审核评估实施方案（</w:t>
      </w:r>
      <w:r>
        <w:rPr>
          <w:rFonts w:ascii="方正仿宋_GBK" w:hAnsi="方正仿宋_GBK" w:eastAsia="方正仿宋_GBK" w:cs="方正仿宋_GBK"/>
          <w:sz w:val="32"/>
          <w:szCs w:val="32"/>
        </w:rPr>
        <w:t>2021—2025</w:t>
      </w:r>
      <w:r>
        <w:rPr>
          <w:rFonts w:hint="eastAsia" w:ascii="方正仿宋_GBK" w:hAnsi="方正仿宋_GBK" w:eastAsia="方正仿宋_GBK" w:cs="方正仿宋_GBK"/>
          <w:sz w:val="32"/>
          <w:szCs w:val="32"/>
        </w:rPr>
        <w:t>年）》，参照教育部教育质量评估中心《普通高等学校本科教育教学审核评估工作指南》，安徽省教育厅研制了《审核评估学校评建改工作指南》，旨在引导参加审核评估的高校做好自评自建和整改工作，</w:t>
      </w:r>
      <w:r>
        <w:rPr>
          <w:rFonts w:hint="eastAsia" w:ascii="方正仿宋_GBK" w:hAnsi="方正仿宋_GBK" w:eastAsia="方正仿宋_GBK" w:cs="方正仿宋_GBK"/>
          <w:spacing w:val="-7"/>
          <w:sz w:val="32"/>
          <w:szCs w:val="32"/>
        </w:rPr>
        <w:t>以评促建、以评促改、以评促管、以评促强，推动高校积极构建自觉、自省、自律、自查、自纠的大学质量文化，引导高校内涵发展、特色发展、创新发展，培养德智体美劳全面发展的社会主义建设者和接班人。</w:t>
      </w:r>
      <w:r>
        <w:rPr>
          <w:rFonts w:hint="eastAsia" w:ascii="方正仿宋_GBK" w:hAnsi="方正仿宋_GBK" w:eastAsia="方正仿宋_GBK" w:cs="方正仿宋_GBK"/>
          <w:spacing w:val="-8"/>
          <w:sz w:val="32"/>
          <w:szCs w:val="32"/>
        </w:rPr>
        <w:t>高等学校开展有效的自评自建和整改工作是审核评估工作的重</w:t>
      </w:r>
      <w:r>
        <w:rPr>
          <w:rFonts w:hint="eastAsia" w:ascii="方正仿宋_GBK" w:hAnsi="方正仿宋_GBK" w:eastAsia="方正仿宋_GBK" w:cs="方正仿宋_GBK"/>
          <w:spacing w:val="-12"/>
          <w:sz w:val="32"/>
          <w:szCs w:val="32"/>
        </w:rPr>
        <w:t>要环节。自评自建工作是审核评估的基础，是学校对本校人才培养状</w:t>
      </w:r>
      <w:r>
        <w:rPr>
          <w:rFonts w:hint="eastAsia" w:ascii="方正仿宋_GBK" w:hAnsi="方正仿宋_GBK" w:eastAsia="方正仿宋_GBK" w:cs="方正仿宋_GBK"/>
          <w:spacing w:val="-18"/>
          <w:sz w:val="32"/>
          <w:szCs w:val="32"/>
        </w:rPr>
        <w:t>况、培养质量全面深入的自我审视和不断的自我建设。通过自评自建，</w:t>
      </w:r>
      <w:r>
        <w:rPr>
          <w:rFonts w:hint="eastAsia" w:ascii="方正仿宋_GBK" w:hAnsi="方正仿宋_GBK" w:eastAsia="方正仿宋_GBK" w:cs="方正仿宋_GBK"/>
          <w:spacing w:val="-13"/>
          <w:sz w:val="32"/>
          <w:szCs w:val="32"/>
        </w:rPr>
        <w:t>可以促进高等学校在本科教学工作中，增强质量主体意识、完善质量</w:t>
      </w:r>
      <w:r>
        <w:rPr>
          <w:rFonts w:hint="eastAsia" w:ascii="方正仿宋_GBK" w:hAnsi="方正仿宋_GBK" w:eastAsia="方正仿宋_GBK" w:cs="方正仿宋_GBK"/>
          <w:spacing w:val="-14"/>
          <w:sz w:val="32"/>
          <w:szCs w:val="32"/>
        </w:rPr>
        <w:t>保障体系，不断提升本科教育教学质量保障能力，形成持续改进的质</w:t>
      </w:r>
      <w:r>
        <w:rPr>
          <w:rFonts w:hint="eastAsia" w:ascii="方正仿宋_GBK" w:hAnsi="方正仿宋_GBK" w:eastAsia="方正仿宋_GBK" w:cs="方正仿宋_GBK"/>
          <w:spacing w:val="-12"/>
          <w:sz w:val="32"/>
          <w:szCs w:val="32"/>
        </w:rPr>
        <w:t>量文化。评估整改是审核评估不可或缺的重要一环，通过评估整改，可以促进高校自觉</w:t>
      </w:r>
      <w:r>
        <w:rPr>
          <w:rFonts w:hint="eastAsia" w:ascii="方正仿宋_GBK" w:hAnsi="方正仿宋_GBK" w:eastAsia="方正仿宋_GBK" w:cs="方正仿宋_GBK"/>
          <w:spacing w:val="-7"/>
          <w:sz w:val="32"/>
          <w:szCs w:val="32"/>
        </w:rPr>
        <w:t>巩固和充分利用评建成果，进一步提升人才培养质量。</w:t>
      </w:r>
    </w:p>
    <w:p>
      <w:pPr>
        <w:pStyle w:val="5"/>
        <w:spacing w:before="0" w:line="560" w:lineRule="exact"/>
        <w:ind w:firstLine="640" w:firstLineChars="200"/>
        <w:rPr>
          <w:rFonts w:ascii="方正仿宋_GBK" w:hAnsi="方正仿宋_GBK" w:eastAsia="方正仿宋_GBK" w:cs="方正仿宋_GBK"/>
        </w:rPr>
      </w:pPr>
      <w:bookmarkStart w:id="0" w:name="_Toc124775222"/>
      <w:r>
        <w:rPr>
          <w:rFonts w:ascii="方正仿宋_GBK" w:hAnsi="方正仿宋_GBK" w:eastAsia="方正仿宋_GBK" w:cs="方正仿宋_GBK"/>
        </w:rPr>
        <w:t>1.</w:t>
      </w:r>
      <w:r>
        <w:rPr>
          <w:rFonts w:hint="eastAsia" w:ascii="方正仿宋_GBK" w:hAnsi="方正仿宋_GBK" w:eastAsia="方正仿宋_GBK" w:cs="方正仿宋_GBK"/>
        </w:rPr>
        <w:t>全面学习、准确把握新一轮审核评估精髓要义</w:t>
      </w:r>
      <w:bookmarkEnd w:id="0"/>
    </w:p>
    <w:p>
      <w:pPr>
        <w:pStyle w:val="6"/>
        <w:spacing w:line="560" w:lineRule="exact"/>
        <w:ind w:firstLine="608" w:firstLineChars="200"/>
        <w:rPr>
          <w:rFonts w:ascii="方正仿宋_GBK" w:hAnsi="方正仿宋_GBK" w:eastAsia="方正仿宋_GBK" w:cs="方正仿宋_GBK"/>
          <w:b w:val="0"/>
          <w:bCs w:val="0"/>
        </w:rPr>
      </w:pPr>
      <w:bookmarkStart w:id="1" w:name="_Toc124775223"/>
      <w:r>
        <w:rPr>
          <w:rFonts w:ascii="方正仿宋_GBK" w:hAnsi="方正仿宋_GBK" w:eastAsia="方正仿宋_GBK" w:cs="方正仿宋_GBK"/>
          <w:w w:val="95"/>
        </w:rPr>
        <w:t>1.1</w:t>
      </w:r>
      <w:r>
        <w:rPr>
          <w:rFonts w:hint="eastAsia" w:ascii="方正仿宋_GBK" w:hAnsi="方正仿宋_GBK" w:eastAsia="方正仿宋_GBK" w:cs="方正仿宋_GBK"/>
          <w:w w:val="95"/>
        </w:rPr>
        <w:t>准确把握审核评估的新变化</w:t>
      </w:r>
      <w:bookmarkEnd w:id="1"/>
    </w:p>
    <w:p>
      <w:pPr>
        <w:pStyle w:val="2"/>
        <w:spacing w:line="560"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新一轮审核评估针对新时代本科教育要求及上轮评估存在的短板进行优化改进，主要变化体现在以下五个方面：</w:t>
      </w:r>
    </w:p>
    <w:p>
      <w:pPr>
        <w:pStyle w:val="2"/>
        <w:spacing w:line="560" w:lineRule="exact"/>
        <w:ind w:firstLine="60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spacing w:val="-10"/>
          <w:sz w:val="32"/>
          <w:szCs w:val="32"/>
        </w:rPr>
        <w:t>一是评估导向的变化。</w:t>
      </w:r>
      <w:r>
        <w:rPr>
          <w:rFonts w:hint="eastAsia" w:ascii="方正仿宋_GBK" w:hAnsi="方正仿宋_GBK" w:eastAsia="方正仿宋_GBK" w:cs="方正仿宋_GBK"/>
          <w:spacing w:val="-10"/>
          <w:sz w:val="32"/>
          <w:szCs w:val="32"/>
        </w:rPr>
        <w:t>新一轮审核评估导向鲜明，突出高校要坚持党的全面领导和立德树人指导思想，把立德树人融入评估全过程、全方位，强化立德树人基础、指标和制度建设，加强学校办学方向、</w:t>
      </w:r>
      <w:r>
        <w:rPr>
          <w:rFonts w:hint="eastAsia" w:ascii="方正仿宋_GBK" w:hAnsi="方正仿宋_GBK" w:eastAsia="方正仿宋_GBK" w:cs="方正仿宋_GBK"/>
          <w:spacing w:val="-3"/>
          <w:sz w:val="32"/>
          <w:szCs w:val="32"/>
        </w:rPr>
        <w:t>育人过程、学生发展等方面的审核，严把高校办学方向。</w:t>
      </w:r>
    </w:p>
    <w:p>
      <w:pPr>
        <w:pStyle w:val="2"/>
        <w:spacing w:line="560" w:lineRule="exact"/>
        <w:ind w:firstLine="592"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spacing w:val="-12"/>
          <w:sz w:val="32"/>
          <w:szCs w:val="32"/>
        </w:rPr>
        <w:t>二是评估内涵的变化。</w:t>
      </w:r>
      <w:r>
        <w:rPr>
          <w:rFonts w:hint="eastAsia" w:ascii="方正仿宋_GBK" w:hAnsi="方正仿宋_GBK" w:eastAsia="方正仿宋_GBK" w:cs="方正仿宋_GBK"/>
          <w:spacing w:val="-12"/>
          <w:sz w:val="32"/>
          <w:szCs w:val="32"/>
        </w:rPr>
        <w:t>新一轮审核评估在继承上一轮评估成功经验的基础上，将本科教学工作评估调整为本科教育教学评估，突出教育与</w:t>
      </w:r>
      <w:r>
        <w:rPr>
          <w:rFonts w:hint="eastAsia" w:ascii="方正仿宋_GBK" w:hAnsi="方正仿宋_GBK" w:eastAsia="方正仿宋_GBK" w:cs="方正仿宋_GBK"/>
          <w:spacing w:val="-16"/>
          <w:sz w:val="32"/>
          <w:szCs w:val="32"/>
        </w:rPr>
        <w:t>教学的有机结合，紧扣本科教育教学改革主线，落实“以本为本</w:t>
      </w:r>
      <w:r>
        <w:rPr>
          <w:rFonts w:hint="eastAsia" w:ascii="方正仿宋_GBK" w:hAnsi="方正仿宋_GBK" w:eastAsia="方正仿宋_GBK" w:cs="方正仿宋_GBK"/>
          <w:sz w:val="32"/>
          <w:szCs w:val="32"/>
        </w:rPr>
        <w:t>”“四个回归”，强化学生</w:t>
      </w:r>
      <w:r>
        <w:rPr>
          <w:rFonts w:hint="eastAsia" w:ascii="方正仿宋_GBK" w:hAnsi="方正仿宋_GBK" w:eastAsia="方正仿宋_GBK" w:cs="方正仿宋_GBK"/>
          <w:spacing w:val="-13"/>
          <w:sz w:val="32"/>
          <w:szCs w:val="32"/>
        </w:rPr>
        <w:t>中心、产出导向、持续改进，引导高校构建“三全育人</w:t>
      </w:r>
      <w:r>
        <w:rPr>
          <w:rFonts w:hint="eastAsia" w:ascii="方正仿宋_GBK" w:hAnsi="方正仿宋_GBK" w:eastAsia="方正仿宋_GBK" w:cs="方正仿宋_GBK"/>
          <w:spacing w:val="-8"/>
          <w:sz w:val="32"/>
          <w:szCs w:val="32"/>
        </w:rPr>
        <w:t>”格局，强化教育教学内涵建设和质量文化。</w:t>
      </w:r>
    </w:p>
    <w:p>
      <w:pPr>
        <w:pStyle w:val="2"/>
        <w:spacing w:line="560"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sz w:val="32"/>
          <w:szCs w:val="32"/>
        </w:rPr>
        <w:t>三是评估类型的变化。</w:t>
      </w:r>
      <w:r>
        <w:rPr>
          <w:rFonts w:hint="eastAsia" w:ascii="方正仿宋_GBK" w:hAnsi="方正仿宋_GBK" w:eastAsia="方正仿宋_GBK" w:cs="方正仿宋_GBK"/>
          <w:sz w:val="32"/>
          <w:szCs w:val="32"/>
        </w:rPr>
        <w:t>针对上一轮审核评估分类指导不够、对不</w:t>
      </w:r>
      <w:r>
        <w:rPr>
          <w:rFonts w:hint="eastAsia" w:ascii="方正仿宋_GBK" w:hAnsi="方正仿宋_GBK" w:eastAsia="方正仿宋_GBK" w:cs="方正仿宋_GBK"/>
          <w:spacing w:val="-7"/>
          <w:sz w:val="32"/>
          <w:szCs w:val="32"/>
        </w:rPr>
        <w:t>同办学定位和办学特色的高校个性化引导不强的问题，围绕普及化阶</w:t>
      </w:r>
      <w:r>
        <w:rPr>
          <w:rFonts w:hint="eastAsia" w:ascii="方正仿宋_GBK" w:hAnsi="方正仿宋_GBK" w:eastAsia="方正仿宋_GBK" w:cs="方正仿宋_GBK"/>
          <w:spacing w:val="-11"/>
          <w:sz w:val="32"/>
          <w:szCs w:val="32"/>
        </w:rPr>
        <w:t>段高等教育多样化需求，</w:t>
      </w:r>
      <w:r>
        <w:rPr>
          <w:rFonts w:hint="eastAsia" w:ascii="方正仿宋_GBK" w:hAnsi="方正仿宋_GBK" w:eastAsia="方正仿宋_GBK" w:cs="方正仿宋_GBK"/>
          <w:spacing w:val="-22"/>
          <w:sz w:val="32"/>
          <w:szCs w:val="32"/>
        </w:rPr>
        <w:t>引导高</w:t>
      </w:r>
      <w:r>
        <w:rPr>
          <w:rFonts w:hint="eastAsia" w:ascii="方正仿宋_GBK" w:hAnsi="方正仿宋_GBK" w:eastAsia="方正仿宋_GBK" w:cs="方正仿宋_GBK"/>
          <w:spacing w:val="-14"/>
          <w:sz w:val="32"/>
          <w:szCs w:val="32"/>
        </w:rPr>
        <w:t>校科学合理定位，自主分类，量身定制适合度量自己的尺子，促进</w:t>
      </w:r>
      <w:r>
        <w:rPr>
          <w:rFonts w:hint="eastAsia" w:ascii="方正仿宋_GBK" w:hAnsi="方正仿宋_GBK" w:eastAsia="方正仿宋_GBK" w:cs="方正仿宋_GBK"/>
          <w:spacing w:val="-8"/>
          <w:sz w:val="32"/>
          <w:szCs w:val="32"/>
        </w:rPr>
        <w:t>高等教育多样化发展、特色发展。</w:t>
      </w:r>
      <w:r>
        <w:rPr>
          <w:rFonts w:hint="eastAsia" w:ascii="方正仿宋_GBK" w:hAnsi="方正仿宋_GBK" w:eastAsia="方正仿宋_GBK" w:cs="方正仿宋_GBK"/>
          <w:spacing w:val="-11"/>
          <w:sz w:val="32"/>
          <w:szCs w:val="32"/>
        </w:rPr>
        <w:t>采取柔性分类方法，提供两类四种“评估方</w:t>
      </w:r>
      <w:r>
        <w:rPr>
          <w:rFonts w:hint="eastAsia" w:ascii="方正仿宋_GBK" w:hAnsi="方正仿宋_GBK" w:eastAsia="方正仿宋_GBK" w:cs="方正仿宋_GBK"/>
          <w:spacing w:val="-13"/>
          <w:sz w:val="32"/>
          <w:szCs w:val="32"/>
        </w:rPr>
        <w:t>案”，高校可依据大学章程和发展规划，综合考虑自身办学定位、人</w:t>
      </w:r>
      <w:r>
        <w:rPr>
          <w:rFonts w:hint="eastAsia" w:ascii="方正仿宋_GBK" w:hAnsi="方正仿宋_GBK" w:eastAsia="方正仿宋_GBK" w:cs="方正仿宋_GBK"/>
          <w:spacing w:val="-12"/>
          <w:sz w:val="32"/>
          <w:szCs w:val="32"/>
        </w:rPr>
        <w:t>才培养目标和质量保障体系建设与运行情况等自主选择。同时在二级</w:t>
      </w:r>
      <w:r>
        <w:rPr>
          <w:rFonts w:hint="eastAsia" w:ascii="方正仿宋_GBK" w:hAnsi="方正仿宋_GBK" w:eastAsia="方正仿宋_GBK" w:cs="方正仿宋_GBK"/>
          <w:spacing w:val="-18"/>
          <w:sz w:val="32"/>
          <w:szCs w:val="32"/>
        </w:rPr>
        <w:t>指标和审核重点上设置了“统一必选项”</w:t>
      </w:r>
      <w:r>
        <w:rPr>
          <w:rFonts w:hint="eastAsia" w:ascii="方正仿宋_GBK" w:hAnsi="方正仿宋_GBK" w:eastAsia="方正仿宋_GBK" w:cs="方正仿宋_GBK"/>
          <w:sz w:val="32"/>
          <w:szCs w:val="32"/>
        </w:rPr>
        <w:t>“类型必选项”“特色可选项”“首评限选项”</w:t>
      </w:r>
      <w:r>
        <w:rPr>
          <w:rFonts w:hint="eastAsia" w:ascii="方正仿宋_GBK" w:hAnsi="方正仿宋_GBK" w:eastAsia="方正仿宋_GBK" w:cs="方正仿宋_GBK"/>
          <w:spacing w:val="-22"/>
          <w:sz w:val="32"/>
          <w:szCs w:val="32"/>
        </w:rPr>
        <w:t>，由高校根据要求和办学实际自己选择。</w:t>
      </w:r>
    </w:p>
    <w:p>
      <w:pPr>
        <w:pStyle w:val="2"/>
        <w:spacing w:line="560" w:lineRule="exact"/>
        <w:ind w:firstLine="60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spacing w:val="-10"/>
          <w:sz w:val="32"/>
          <w:szCs w:val="32"/>
        </w:rPr>
        <w:t>四是评估方法的变化。</w:t>
      </w:r>
      <w:r>
        <w:rPr>
          <w:rFonts w:hint="eastAsia" w:ascii="方正仿宋_GBK" w:hAnsi="方正仿宋_GBK" w:eastAsia="方正仿宋_GBK" w:cs="方正仿宋_GBK"/>
          <w:spacing w:val="-10"/>
          <w:sz w:val="32"/>
          <w:szCs w:val="32"/>
        </w:rPr>
        <w:t>新一轮审核评估创新评估方法，综合运用互联网、大数据等现代信息技术手段，深度挖掘常态监测数据，</w:t>
      </w:r>
      <w:r>
        <w:rPr>
          <w:rFonts w:hint="eastAsia" w:ascii="方正仿宋_GBK" w:hAnsi="方正仿宋_GBK" w:eastAsia="方正仿宋_GBK" w:cs="方正仿宋_GBK"/>
          <w:spacing w:val="-12"/>
          <w:sz w:val="32"/>
          <w:szCs w:val="32"/>
        </w:rPr>
        <w:t>采取线上与实地“一体化”评估、定性与定量结合、明察与暗访结合等评估方式，切实提高评估工作实效。入校评估不设定统一的考察时间与考察环节，专家组可根据学校需要和考察需要灵活安排，突出评估服务学校。</w:t>
      </w:r>
    </w:p>
    <w:p>
      <w:pPr>
        <w:pStyle w:val="2"/>
        <w:spacing w:line="560" w:lineRule="exact"/>
        <w:ind w:firstLine="592"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spacing w:val="-12"/>
          <w:sz w:val="32"/>
          <w:szCs w:val="32"/>
        </w:rPr>
        <w:t>五是评估功能的变化。</w:t>
      </w:r>
      <w:r>
        <w:rPr>
          <w:rFonts w:hint="eastAsia" w:ascii="方正仿宋_GBK" w:hAnsi="方正仿宋_GBK" w:eastAsia="方正仿宋_GBK" w:cs="方正仿宋_GBK"/>
          <w:spacing w:val="-12"/>
          <w:sz w:val="32"/>
          <w:szCs w:val="32"/>
        </w:rPr>
        <w:t>新一轮审核评估突出评估的激励作用和监</w:t>
      </w:r>
      <w:r>
        <w:rPr>
          <w:rFonts w:hint="eastAsia" w:ascii="方正仿宋_GBK" w:hAnsi="方正仿宋_GBK" w:eastAsia="方正仿宋_GBK" w:cs="方正仿宋_GBK"/>
          <w:spacing w:val="-13"/>
          <w:sz w:val="32"/>
          <w:szCs w:val="32"/>
        </w:rPr>
        <w:t>督作用。对标新时代本科教育质量要求，设立“卓越本科教育教学示范校”；分类设置常模数据做对照比较，帮助学校找准差距与不足，激励高校追求卓越，不断深化本科教育教学改革创新，提高人才培养</w:t>
      </w:r>
      <w:r>
        <w:rPr>
          <w:rFonts w:hint="eastAsia" w:ascii="方正仿宋_GBK" w:hAnsi="方正仿宋_GBK" w:eastAsia="方正仿宋_GBK" w:cs="方正仿宋_GBK"/>
          <w:spacing w:val="-28"/>
          <w:sz w:val="32"/>
          <w:szCs w:val="32"/>
        </w:rPr>
        <w:t>质量。</w:t>
      </w:r>
      <w:r>
        <w:rPr>
          <w:rFonts w:hint="eastAsia" w:ascii="方正仿宋_GBK" w:hAnsi="方正仿宋_GBK" w:eastAsia="方正仿宋_GBK" w:cs="方正仿宋_GBK"/>
          <w:sz w:val="32"/>
          <w:szCs w:val="32"/>
        </w:rPr>
        <w:t>坚守国家对本科教育教学的强制性质量底线要求，建立“问题清单”，建立“回头看”整改复查机制，</w:t>
      </w:r>
      <w:r>
        <w:rPr>
          <w:rFonts w:hint="eastAsia" w:ascii="方正仿宋_GBK" w:hAnsi="方正仿宋_GBK" w:eastAsia="方正仿宋_GBK" w:cs="方正仿宋_GBK"/>
          <w:spacing w:val="-12"/>
          <w:sz w:val="32"/>
          <w:szCs w:val="32"/>
        </w:rPr>
        <w:t>咬住问题清单不松口，一纠到底，强</w:t>
      </w:r>
      <w:r>
        <w:rPr>
          <w:rFonts w:hint="eastAsia" w:ascii="方正仿宋_GBK" w:hAnsi="方正仿宋_GBK" w:eastAsia="方正仿宋_GBK" w:cs="方正仿宋_GBK"/>
          <w:spacing w:val="-13"/>
          <w:sz w:val="32"/>
          <w:szCs w:val="32"/>
        </w:rPr>
        <w:t>化评估结果使用和督导复查，推动高校落实主体责任，建立持续改进长效机制，培育高校质量文化。评估结果多方共用，为教育行政</w:t>
      </w:r>
      <w:r>
        <w:rPr>
          <w:rFonts w:hint="eastAsia" w:ascii="方正仿宋_GBK" w:hAnsi="方正仿宋_GBK" w:eastAsia="方正仿宋_GBK" w:cs="方正仿宋_GBK"/>
          <w:spacing w:val="-8"/>
          <w:sz w:val="32"/>
          <w:szCs w:val="32"/>
        </w:rPr>
        <w:t>部门决策、精准开展工作提供参考。</w:t>
      </w:r>
    </w:p>
    <w:p>
      <w:pPr>
        <w:pStyle w:val="6"/>
        <w:spacing w:line="560" w:lineRule="exact"/>
        <w:ind w:firstLine="608" w:firstLineChars="200"/>
        <w:rPr>
          <w:rFonts w:ascii="方正仿宋_GBK" w:hAnsi="方正仿宋_GBK" w:eastAsia="方正仿宋_GBK" w:cs="方正仿宋_GBK"/>
          <w:b w:val="0"/>
          <w:bCs w:val="0"/>
          <w:w w:val="95"/>
        </w:rPr>
      </w:pPr>
      <w:bookmarkStart w:id="2" w:name="_Toc124775224"/>
      <w:r>
        <w:rPr>
          <w:rFonts w:ascii="方正仿宋_GBK" w:hAnsi="方正仿宋_GBK" w:eastAsia="方正仿宋_GBK" w:cs="方正仿宋_GBK"/>
          <w:w w:val="95"/>
        </w:rPr>
        <w:t>1.2</w:t>
      </w:r>
      <w:r>
        <w:rPr>
          <w:rFonts w:hint="eastAsia" w:ascii="方正仿宋_GBK" w:hAnsi="方正仿宋_GBK" w:eastAsia="方正仿宋_GBK" w:cs="方正仿宋_GBK"/>
          <w:w w:val="95"/>
        </w:rPr>
        <w:t>准确把握审核评估的重点要求</w:t>
      </w:r>
      <w:bookmarkEnd w:id="2"/>
    </w:p>
    <w:p>
      <w:pPr>
        <w:pStyle w:val="2"/>
        <w:spacing w:line="560"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审核评估指标是对审核评估主要内容的规定，充分体现了审核评</w:t>
      </w:r>
      <w:r>
        <w:rPr>
          <w:rFonts w:hint="eastAsia" w:ascii="方正仿宋_GBK" w:hAnsi="方正仿宋_GBK" w:eastAsia="方正仿宋_GBK" w:cs="方正仿宋_GBK"/>
          <w:spacing w:val="-10"/>
          <w:sz w:val="32"/>
          <w:szCs w:val="32"/>
        </w:rPr>
        <w:t>估的内涵要素及其关系，正确理解审核评估指标内涵要求对参评</w:t>
      </w:r>
      <w:r>
        <w:rPr>
          <w:rFonts w:hint="eastAsia" w:ascii="方正仿宋_GBK" w:hAnsi="方正仿宋_GBK" w:eastAsia="方正仿宋_GBK" w:cs="方正仿宋_GBK"/>
          <w:spacing w:val="-13"/>
          <w:sz w:val="32"/>
          <w:szCs w:val="32"/>
        </w:rPr>
        <w:t>高校有效开展自评自建工作至关重要。学校需要组织师生员工认真学</w:t>
      </w:r>
      <w:r>
        <w:rPr>
          <w:rFonts w:hint="eastAsia" w:ascii="方正仿宋_GBK" w:hAnsi="方正仿宋_GBK" w:eastAsia="方正仿宋_GBK" w:cs="方正仿宋_GBK"/>
          <w:spacing w:val="-8"/>
          <w:sz w:val="32"/>
          <w:szCs w:val="32"/>
        </w:rPr>
        <w:t>习，正确把握每个审核指标内涵及其审核重点。</w:t>
      </w:r>
    </w:p>
    <w:p>
      <w:pPr>
        <w:pStyle w:val="2"/>
        <w:spacing w:line="560" w:lineRule="exact"/>
        <w:ind w:firstLine="608"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bCs/>
          <w:spacing w:val="-8"/>
          <w:sz w:val="32"/>
          <w:szCs w:val="32"/>
        </w:rPr>
        <w:t>适合第一类评估的高校，</w:t>
      </w:r>
      <w:r>
        <w:rPr>
          <w:rFonts w:hint="eastAsia" w:ascii="方正仿宋_GBK" w:hAnsi="方正仿宋_GBK" w:eastAsia="方正仿宋_GBK" w:cs="方正仿宋_GBK"/>
          <w:spacing w:val="-8"/>
          <w:sz w:val="32"/>
          <w:szCs w:val="32"/>
        </w:rPr>
        <w:t>即学术研究型高校是以服务国家重大战略需求、建设世界一</w:t>
      </w:r>
      <w:r>
        <w:rPr>
          <w:rFonts w:hint="eastAsia" w:ascii="方正仿宋_GBK" w:hAnsi="方正仿宋_GBK" w:eastAsia="方正仿宋_GBK" w:cs="方正仿宋_GBK"/>
          <w:spacing w:val="-11"/>
          <w:sz w:val="32"/>
          <w:szCs w:val="32"/>
        </w:rPr>
        <w:t>流大学为办学定位，以培养一流拔尖创新人才为目标，且已经拥有一</w:t>
      </w:r>
      <w:r>
        <w:rPr>
          <w:rFonts w:hint="eastAsia" w:ascii="方正仿宋_GBK" w:hAnsi="方正仿宋_GBK" w:eastAsia="方正仿宋_GBK" w:cs="方正仿宋_GBK"/>
          <w:spacing w:val="-13"/>
          <w:sz w:val="32"/>
          <w:szCs w:val="32"/>
        </w:rPr>
        <w:t>流师资队伍和育人平台，因此审核重点主要聚焦于世界一流大学建设</w:t>
      </w:r>
      <w:r>
        <w:rPr>
          <w:rFonts w:hint="eastAsia" w:ascii="方正仿宋_GBK" w:hAnsi="方正仿宋_GBK" w:eastAsia="方正仿宋_GBK" w:cs="方正仿宋_GBK"/>
          <w:spacing w:val="3"/>
          <w:sz w:val="32"/>
          <w:szCs w:val="32"/>
        </w:rPr>
        <w:t>所必备的质量保障能力及具有影响力的本科教育教学综合改革举措</w:t>
      </w:r>
      <w:r>
        <w:rPr>
          <w:rFonts w:hint="eastAsia" w:ascii="方正仿宋_GBK" w:hAnsi="方正仿宋_GBK" w:eastAsia="方正仿宋_GBK" w:cs="方正仿宋_GBK"/>
          <w:spacing w:val="-11"/>
          <w:sz w:val="32"/>
          <w:szCs w:val="32"/>
        </w:rPr>
        <w:t>与成效。即：注重质量保障的文化机制，引导高校提升内部质量保障</w:t>
      </w:r>
      <w:r>
        <w:rPr>
          <w:rFonts w:hint="eastAsia" w:ascii="方正仿宋_GBK" w:hAnsi="方正仿宋_GBK" w:eastAsia="方正仿宋_GBK" w:cs="方正仿宋_GBK"/>
          <w:spacing w:val="-12"/>
          <w:sz w:val="32"/>
          <w:szCs w:val="32"/>
        </w:rPr>
        <w:t>能力、加强质量文化建设；注重本科教育的时代要求，</w:t>
      </w:r>
      <w:r>
        <w:fldChar w:fldCharType="begin"/>
      </w:r>
      <w:r>
        <w:instrText xml:space="preserve"> HYPERLINK "https://www.baidu.com/link?url=uKXJpGeD0X6_JM_yDGi6bkpaIQaUKcDfxYKG4NrodWCSb6r8WQ1QblCeOUDBZcQITw2gC9h4MdZnwC0wzSzeOojLKAl_oieFEg1GuuxVb4a&amp;amp;wd&amp;amp;eqid=c7a4ec52001d4b30000000035d386638" \h </w:instrText>
      </w:r>
      <w:r>
        <w:fldChar w:fldCharType="separate"/>
      </w:r>
      <w:r>
        <w:rPr>
          <w:rFonts w:hint="eastAsia" w:ascii="方正仿宋_GBK" w:hAnsi="方正仿宋_GBK" w:eastAsia="方正仿宋_GBK" w:cs="方正仿宋_GBK"/>
          <w:sz w:val="32"/>
          <w:szCs w:val="32"/>
        </w:rPr>
        <w:t>引导高校落实</w:t>
      </w:r>
      <w:r>
        <w:rPr>
          <w:rFonts w:hint="eastAsia" w:ascii="方正仿宋_GBK" w:hAnsi="方正仿宋_GBK" w:eastAsia="方正仿宋_GBK" w:cs="方正仿宋_GBK"/>
          <w:sz w:val="32"/>
          <w:szCs w:val="32"/>
        </w:rPr>
        <w:fldChar w:fldCharType="end"/>
      </w:r>
      <w:r>
        <w:fldChar w:fldCharType="begin"/>
      </w:r>
      <w:r>
        <w:instrText xml:space="preserve"> HYPERLINK "https://www.baidu.com/link?url=uKXJpGeD0X6_JM_yDGi6bkpaIQaUKcDfxYKG4NrodWCSb6r8WQ1QblCeOUDBZcQITw2gC9h4MdZnwC0wzSzeOojLKAl_oieFEg1GuuxVb4a&amp;amp;wd&amp;amp;eqid=c7a4ec52001d4b30000000035d386638" \h </w:instrText>
      </w:r>
      <w:r>
        <w:fldChar w:fldCharType="separate"/>
      </w:r>
      <w:r>
        <w:rPr>
          <w:rFonts w:hint="eastAsia" w:ascii="方正仿宋_GBK" w:hAnsi="方正仿宋_GBK" w:eastAsia="方正仿宋_GBK" w:cs="方正仿宋_GBK"/>
          <w:spacing w:val="-2"/>
          <w:sz w:val="32"/>
          <w:szCs w:val="32"/>
        </w:rPr>
        <w:t>立德树人根本任务</w:t>
      </w:r>
      <w:r>
        <w:rPr>
          <w:rFonts w:hint="eastAsia" w:ascii="方正仿宋_GBK" w:hAnsi="方正仿宋_GBK" w:eastAsia="方正仿宋_GBK" w:cs="方正仿宋_GBK"/>
          <w:spacing w:val="-2"/>
          <w:sz w:val="32"/>
          <w:szCs w:val="32"/>
        </w:rPr>
        <w:fldChar w:fldCharType="end"/>
      </w:r>
      <w:r>
        <w:rPr>
          <w:rFonts w:hint="eastAsia" w:ascii="方正仿宋_GBK" w:hAnsi="方正仿宋_GBK" w:eastAsia="方正仿宋_GBK" w:cs="方正仿宋_GBK"/>
          <w:spacing w:val="-11"/>
          <w:sz w:val="32"/>
          <w:szCs w:val="32"/>
        </w:rPr>
        <w:t>、建设中国特色的世界一流本科教育；注重特色发</w:t>
      </w:r>
      <w:r>
        <w:rPr>
          <w:rFonts w:hint="eastAsia" w:ascii="方正仿宋_GBK" w:hAnsi="方正仿宋_GBK" w:eastAsia="方正仿宋_GBK" w:cs="方正仿宋_GBK"/>
          <w:spacing w:val="-7"/>
          <w:sz w:val="32"/>
          <w:szCs w:val="32"/>
        </w:rPr>
        <w:t>展，引导高校全面开展教育教学综合改革，提高人才培养质量。</w:t>
      </w:r>
    </w:p>
    <w:p>
      <w:pPr>
        <w:pStyle w:val="2"/>
        <w:spacing w:line="560" w:lineRule="exact"/>
        <w:ind w:firstLine="60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bCs/>
          <w:spacing w:val="-10"/>
          <w:sz w:val="32"/>
          <w:szCs w:val="32"/>
        </w:rPr>
        <w:t>适合第二类评估的高校，</w:t>
      </w:r>
      <w:r>
        <w:rPr>
          <w:rFonts w:hint="eastAsia" w:ascii="方正仿宋_GBK" w:hAnsi="方正仿宋_GBK" w:eastAsia="方正仿宋_GBK" w:cs="方正仿宋_GBK"/>
          <w:spacing w:val="-10"/>
          <w:sz w:val="32"/>
          <w:szCs w:val="32"/>
        </w:rPr>
        <w:t>即应用研究型高校和应用技能型高校，此类高校量大面广，培养目标或者以学术型人才培</w:t>
      </w:r>
      <w:r>
        <w:rPr>
          <w:rFonts w:hint="eastAsia" w:ascii="方正仿宋_GBK" w:hAnsi="方正仿宋_GBK" w:eastAsia="方正仿宋_GBK" w:cs="方正仿宋_GBK"/>
          <w:spacing w:val="-13"/>
          <w:sz w:val="32"/>
          <w:szCs w:val="32"/>
        </w:rPr>
        <w:t>养为主，或者以应用型人才培养为主，因此，审核重点主要聚焦于影响本科教育教学及其质量保障的关键要素，包括办学方向与本科地位、培养过程、教学资源与利用、教师队伍、学生发展、质量保障、教学</w:t>
      </w:r>
      <w:r>
        <w:rPr>
          <w:rFonts w:hint="eastAsia" w:ascii="方正仿宋_GBK" w:hAnsi="方正仿宋_GBK" w:eastAsia="方正仿宋_GBK" w:cs="方正仿宋_GBK"/>
          <w:spacing w:val="-12"/>
          <w:sz w:val="32"/>
          <w:szCs w:val="32"/>
        </w:rPr>
        <w:t>成效等方面。学术型人才培养引导夯实理论基础，科教融合，突出培养学生创新能力；应用型人才培养引导学生能力培养，突出培养专业</w:t>
      </w:r>
      <w:r>
        <w:rPr>
          <w:rFonts w:hint="eastAsia" w:ascii="方正仿宋_GBK" w:hAnsi="方正仿宋_GBK" w:eastAsia="方正仿宋_GBK" w:cs="方正仿宋_GBK"/>
          <w:spacing w:val="-13"/>
          <w:sz w:val="32"/>
          <w:szCs w:val="32"/>
        </w:rPr>
        <w:t>能力和实践应用能力。对于首次参加审核评估的高校，还增加了对教学设施条件的审核，包括教学经费、图书资料、校园网、校舍、运动场所、体育设施、艺术场馆、实验室、实习基地及其设施条件等满足教</w:t>
      </w:r>
      <w:r>
        <w:rPr>
          <w:rFonts w:hint="eastAsia" w:ascii="方正仿宋_GBK" w:hAnsi="方正仿宋_GBK" w:eastAsia="方正仿宋_GBK" w:cs="方正仿宋_GBK"/>
          <w:spacing w:val="-8"/>
          <w:sz w:val="32"/>
          <w:szCs w:val="32"/>
        </w:rPr>
        <w:t>学要求及利用情况。</w:t>
      </w:r>
    </w:p>
    <w:p>
      <w:pPr>
        <w:pStyle w:val="6"/>
        <w:spacing w:line="560" w:lineRule="exact"/>
        <w:ind w:firstLine="608" w:firstLineChars="200"/>
        <w:rPr>
          <w:rFonts w:ascii="方正仿宋_GBK" w:hAnsi="方正仿宋_GBK" w:eastAsia="方正仿宋_GBK" w:cs="方正仿宋_GBK"/>
          <w:b w:val="0"/>
          <w:bCs w:val="0"/>
          <w:w w:val="95"/>
        </w:rPr>
      </w:pPr>
      <w:bookmarkStart w:id="3" w:name="_Toc124775225"/>
      <w:r>
        <w:rPr>
          <w:rFonts w:ascii="方正仿宋_GBK" w:hAnsi="方正仿宋_GBK" w:eastAsia="方正仿宋_GBK" w:cs="方正仿宋_GBK"/>
          <w:w w:val="95"/>
        </w:rPr>
        <w:t xml:space="preserve">1.3 </w:t>
      </w:r>
      <w:r>
        <w:rPr>
          <w:rFonts w:hint="eastAsia" w:ascii="方正仿宋_GBK" w:hAnsi="方正仿宋_GBK" w:eastAsia="方正仿宋_GBK" w:cs="方正仿宋_GBK"/>
          <w:w w:val="95"/>
        </w:rPr>
        <w:t>全面把握高校评建工作新要求</w:t>
      </w:r>
      <w:bookmarkEnd w:id="3"/>
    </w:p>
    <w:p>
      <w:pPr>
        <w:pStyle w:val="2"/>
        <w:spacing w:line="560" w:lineRule="exact"/>
        <w:ind w:firstLine="652"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3"/>
          <w:sz w:val="32"/>
          <w:szCs w:val="32"/>
        </w:rPr>
        <w:t>高校开展审核评估工作要以习近平新时代中国特色社会主义思</w:t>
      </w:r>
      <w:r>
        <w:rPr>
          <w:rFonts w:hint="eastAsia" w:ascii="方正仿宋_GBK" w:hAnsi="方正仿宋_GBK" w:eastAsia="方正仿宋_GBK" w:cs="方正仿宋_GBK"/>
          <w:spacing w:val="-9"/>
          <w:sz w:val="32"/>
          <w:szCs w:val="32"/>
        </w:rPr>
        <w:t>想为指导，深入贯彻落实全国教育大会精神、新时代全国高等学校本</w:t>
      </w:r>
      <w:r>
        <w:rPr>
          <w:rFonts w:hint="eastAsia" w:ascii="方正仿宋_GBK" w:hAnsi="方正仿宋_GBK" w:eastAsia="方正仿宋_GBK" w:cs="方正仿宋_GBK"/>
          <w:spacing w:val="-12"/>
          <w:sz w:val="32"/>
          <w:szCs w:val="32"/>
        </w:rPr>
        <w:t>科教育工作会议精神，牢固树立本科人才培养的核心地位，把立德树</w:t>
      </w:r>
      <w:r>
        <w:rPr>
          <w:rFonts w:hint="eastAsia" w:ascii="方正仿宋_GBK" w:hAnsi="方正仿宋_GBK" w:eastAsia="方正仿宋_GBK" w:cs="方正仿宋_GBK"/>
          <w:spacing w:val="-6"/>
          <w:sz w:val="32"/>
          <w:szCs w:val="32"/>
        </w:rPr>
        <w:t>人成效作为检验学校一切工作的根本标准；以评估为手段，“以评促</w:t>
      </w:r>
      <w:r>
        <w:rPr>
          <w:rFonts w:hint="eastAsia" w:ascii="方正仿宋_GBK" w:hAnsi="方正仿宋_GBK" w:eastAsia="方正仿宋_GBK" w:cs="方正仿宋_GBK"/>
          <w:spacing w:val="-9"/>
          <w:sz w:val="32"/>
          <w:szCs w:val="32"/>
        </w:rPr>
        <w:t>建、以评促改、以评促管、以评促强”，促进高等学校建设高水平人</w:t>
      </w:r>
      <w:r>
        <w:rPr>
          <w:rFonts w:hint="eastAsia" w:ascii="方正仿宋_GBK" w:hAnsi="方正仿宋_GBK" w:eastAsia="方正仿宋_GBK" w:cs="方正仿宋_GBK"/>
          <w:spacing w:val="-24"/>
          <w:sz w:val="32"/>
          <w:szCs w:val="32"/>
        </w:rPr>
        <w:t>才培养体系，深化教育教学改革，提高人才培养质量；突出内涵发展、</w:t>
      </w:r>
      <w:r>
        <w:rPr>
          <w:rFonts w:hint="eastAsia" w:ascii="方正仿宋_GBK" w:hAnsi="方正仿宋_GBK" w:eastAsia="方正仿宋_GBK" w:cs="方正仿宋_GBK"/>
          <w:spacing w:val="-14"/>
          <w:sz w:val="32"/>
          <w:szCs w:val="32"/>
        </w:rPr>
        <w:t>特色发展、创新发展，促进高等学校不断追求卓越，努力建设中国特</w:t>
      </w:r>
      <w:r>
        <w:rPr>
          <w:rFonts w:hint="eastAsia" w:ascii="方正仿宋_GBK" w:hAnsi="方正仿宋_GBK" w:eastAsia="方正仿宋_GBK" w:cs="方正仿宋_GBK"/>
          <w:spacing w:val="-8"/>
          <w:sz w:val="32"/>
          <w:szCs w:val="32"/>
        </w:rPr>
        <w:t>色、世界水平的一流本科教育。</w:t>
      </w:r>
    </w:p>
    <w:p>
      <w:pPr>
        <w:pStyle w:val="2"/>
        <w:spacing w:line="560" w:lineRule="exact"/>
        <w:ind w:firstLine="608"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8"/>
          <w:sz w:val="32"/>
          <w:szCs w:val="32"/>
        </w:rPr>
        <w:t>高校开展审核评估工作要坚持正确的政治方向，紧密围绕立德树</w:t>
      </w:r>
      <w:r>
        <w:rPr>
          <w:rFonts w:hint="eastAsia" w:ascii="方正仿宋_GBK" w:hAnsi="方正仿宋_GBK" w:eastAsia="方正仿宋_GBK" w:cs="方正仿宋_GBK"/>
          <w:spacing w:val="-11"/>
          <w:sz w:val="32"/>
          <w:szCs w:val="32"/>
        </w:rPr>
        <w:t>人根本任务，把立德树人成效作为检验学校一切工作的根本标准；围绕中心任务，体现人才培养中心地位，筑牢本科教育教学核心地位；</w:t>
      </w:r>
      <w:r>
        <w:rPr>
          <w:rFonts w:hint="eastAsia" w:ascii="方正仿宋_GBK" w:hAnsi="方正仿宋_GBK" w:eastAsia="方正仿宋_GBK" w:cs="方正仿宋_GBK"/>
          <w:spacing w:val="-13"/>
          <w:sz w:val="32"/>
          <w:szCs w:val="32"/>
        </w:rPr>
        <w:t>坚持学生发展本位，强化学生中心、产出导向、持续改进，推动人才培养范式从“以教为中心”向“以学为中心”转变；充分发挥学校主体作用。</w:t>
      </w:r>
    </w:p>
    <w:p>
      <w:pPr>
        <w:pStyle w:val="2"/>
        <w:spacing w:line="560" w:lineRule="exact"/>
        <w:ind w:firstLine="608"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8"/>
          <w:sz w:val="32"/>
          <w:szCs w:val="32"/>
        </w:rPr>
        <w:t>高校开展审核评估工作要坚持实事求是的原则，树立正确的评估</w:t>
      </w:r>
      <w:r>
        <w:rPr>
          <w:rFonts w:hint="eastAsia" w:ascii="方正仿宋_GBK" w:hAnsi="方正仿宋_GBK" w:eastAsia="方正仿宋_GBK" w:cs="方正仿宋_GBK"/>
          <w:spacing w:val="-12"/>
          <w:sz w:val="32"/>
          <w:szCs w:val="32"/>
        </w:rPr>
        <w:t>价值取向。要以“平常心、正常态”对待评估。学校在认真进行自我</w:t>
      </w:r>
      <w:r>
        <w:rPr>
          <w:rFonts w:hint="eastAsia" w:ascii="方正仿宋_GBK" w:hAnsi="方正仿宋_GBK" w:eastAsia="方正仿宋_GBK" w:cs="方正仿宋_GBK"/>
          <w:spacing w:val="-13"/>
          <w:sz w:val="32"/>
          <w:szCs w:val="32"/>
        </w:rPr>
        <w:t>总结、自我评估的基础上，撰写写实性报告，客观清醒地认识学校本科教育教学发展的现状与问题，深入思考内涵发展的方向与举措。自评工作始终要以事实和数据为依据，做到不回避问题、不隐瞒事实、</w:t>
      </w:r>
      <w:r>
        <w:rPr>
          <w:rFonts w:hint="eastAsia" w:ascii="方正仿宋_GBK" w:hAnsi="方正仿宋_GBK" w:eastAsia="方正仿宋_GBK" w:cs="方正仿宋_GBK"/>
          <w:spacing w:val="-8"/>
          <w:sz w:val="32"/>
          <w:szCs w:val="32"/>
        </w:rPr>
        <w:t>不弄虚作假、不夸大成绩。</w:t>
      </w:r>
    </w:p>
    <w:p>
      <w:pPr>
        <w:pStyle w:val="2"/>
        <w:spacing w:line="560"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高校开展审核评估工作要处理好审核评估与可持续发展的关系，</w:t>
      </w:r>
      <w:r>
        <w:rPr>
          <w:rFonts w:hint="eastAsia" w:ascii="方正仿宋_GBK" w:hAnsi="方正仿宋_GBK" w:eastAsia="方正仿宋_GBK" w:cs="方正仿宋_GBK"/>
          <w:spacing w:val="-9"/>
          <w:sz w:val="32"/>
          <w:szCs w:val="32"/>
        </w:rPr>
        <w:t>不搞急功近利的短期行为；处理好硬件建设与软件建设的关系，切实</w:t>
      </w:r>
      <w:r>
        <w:rPr>
          <w:rFonts w:hint="eastAsia" w:ascii="方正仿宋_GBK" w:hAnsi="方正仿宋_GBK" w:eastAsia="方正仿宋_GBK" w:cs="方正仿宋_GBK"/>
          <w:spacing w:val="-11"/>
          <w:sz w:val="32"/>
          <w:szCs w:val="32"/>
        </w:rPr>
        <w:t>提升质量文化；处理好自评工作与其他工作的关系，使学校的评建工</w:t>
      </w:r>
      <w:r>
        <w:rPr>
          <w:rFonts w:hint="eastAsia" w:ascii="方正仿宋_GBK" w:hAnsi="方正仿宋_GBK" w:eastAsia="方正仿宋_GBK" w:cs="方正仿宋_GBK"/>
          <w:spacing w:val="-7"/>
          <w:sz w:val="32"/>
          <w:szCs w:val="32"/>
        </w:rPr>
        <w:t>作融于日常的教育教学工作，质量保障体系与质量文化建设工作之中。</w:t>
      </w:r>
    </w:p>
    <w:p>
      <w:pPr>
        <w:pStyle w:val="5"/>
        <w:spacing w:before="0" w:line="560" w:lineRule="exact"/>
        <w:ind w:firstLine="640" w:firstLineChars="200"/>
        <w:rPr>
          <w:rFonts w:ascii="方正仿宋_GBK" w:hAnsi="方正仿宋_GBK" w:eastAsia="方正仿宋_GBK" w:cs="方正仿宋_GBK"/>
        </w:rPr>
      </w:pPr>
      <w:bookmarkStart w:id="4" w:name="_Toc124775226"/>
      <w:r>
        <w:rPr>
          <w:rFonts w:ascii="方正仿宋_GBK" w:hAnsi="方正仿宋_GBK" w:eastAsia="方正仿宋_GBK" w:cs="方正仿宋_GBK"/>
        </w:rPr>
        <w:t>2.</w:t>
      </w:r>
      <w:r>
        <w:rPr>
          <w:rFonts w:hint="eastAsia" w:ascii="方正仿宋_GBK" w:hAnsi="方正仿宋_GBK" w:eastAsia="方正仿宋_GBK" w:cs="方正仿宋_GBK"/>
        </w:rPr>
        <w:t>认真做好审核评估申请工作</w:t>
      </w:r>
      <w:bookmarkEnd w:id="4"/>
    </w:p>
    <w:p>
      <w:pPr>
        <w:pStyle w:val="2"/>
        <w:spacing w:line="560" w:lineRule="exact"/>
        <w:ind w:firstLine="612" w:firstLineChars="200"/>
        <w:jc w:val="both"/>
        <w:rPr>
          <w:rFonts w:ascii="方正仿宋_GBK" w:hAnsi="方正仿宋_GBK" w:eastAsia="方正仿宋_GBK" w:cs="方正仿宋_GBK"/>
          <w:spacing w:val="-7"/>
          <w:sz w:val="32"/>
          <w:szCs w:val="32"/>
        </w:rPr>
      </w:pPr>
      <w:r>
        <w:rPr>
          <w:rFonts w:hint="eastAsia" w:ascii="方正仿宋_GBK" w:hAnsi="方正仿宋_GBK" w:eastAsia="方正仿宋_GBK" w:cs="方正仿宋_GBK"/>
          <w:spacing w:val="-7"/>
          <w:sz w:val="32"/>
          <w:szCs w:val="32"/>
        </w:rPr>
        <w:t>新一轮审核评估根据高等教育整体布局结构和高校办学定位、服务面向、发展实际，将评估类型分为两大类。高校可根据大学章程和发展规划，综合考虑各自办学定位、人才培养目标和质量保障体系建设等情况进行自主选择。原则上，省属高校选择参加第二类评估。而具有世界一流办学目标、一流师资队伍和育人平台，培养一流拔尖创新人才，服务国家重大战略需求的普通本科高校也可选择参加第一类评估。</w:t>
      </w:r>
    </w:p>
    <w:p>
      <w:pPr>
        <w:pStyle w:val="6"/>
        <w:spacing w:line="560" w:lineRule="exact"/>
        <w:ind w:firstLine="608" w:firstLineChars="200"/>
        <w:rPr>
          <w:rFonts w:ascii="方正仿宋_GBK" w:hAnsi="方正仿宋_GBK" w:eastAsia="方正仿宋_GBK" w:cs="方正仿宋_GBK"/>
          <w:b w:val="0"/>
          <w:bCs w:val="0"/>
          <w:w w:val="95"/>
        </w:rPr>
      </w:pPr>
      <w:bookmarkStart w:id="5" w:name="_Toc124775227"/>
      <w:r>
        <w:rPr>
          <w:rFonts w:ascii="方正仿宋_GBK" w:hAnsi="方正仿宋_GBK" w:eastAsia="方正仿宋_GBK" w:cs="方正仿宋_GBK"/>
          <w:w w:val="95"/>
        </w:rPr>
        <w:t>2.1</w:t>
      </w:r>
      <w:r>
        <w:rPr>
          <w:rFonts w:hint="eastAsia" w:ascii="方正仿宋_GBK" w:hAnsi="方正仿宋_GBK" w:eastAsia="方正仿宋_GBK" w:cs="方正仿宋_GBK"/>
          <w:w w:val="95"/>
        </w:rPr>
        <w:t>第一类审核评估</w:t>
      </w:r>
      <w:bookmarkEnd w:id="5"/>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安徽省高校申请第一类审核评估，须由省教育厅同意后向教育部督导局推荐。申请高校按照要求撰写《审核评估申请报告》，向省教育厅提交申请，同时提交上轮审核评估整改报告。教育部教育督导局收到申请后，对其申请进行审查，审查通过后，提交评估专家委员会审定。准予参加教育部第一类审核评估的高校，由教育部教育质量评估中心统一组织审核评估工作。未被准予参加教育部第一类审核评估的高校，则重新申请参加安徽省教育厅组织的的第二类审核评估。</w:t>
      </w:r>
    </w:p>
    <w:p>
      <w:pPr>
        <w:pStyle w:val="6"/>
        <w:spacing w:line="560" w:lineRule="exact"/>
        <w:ind w:firstLine="608" w:firstLineChars="200"/>
        <w:rPr>
          <w:rFonts w:ascii="方正仿宋_GBK" w:hAnsi="方正仿宋_GBK" w:eastAsia="方正仿宋_GBK" w:cs="方正仿宋_GBK"/>
          <w:b w:val="0"/>
          <w:bCs w:val="0"/>
          <w:w w:val="95"/>
        </w:rPr>
      </w:pPr>
      <w:bookmarkStart w:id="6" w:name="_Toc124775228"/>
      <w:r>
        <w:rPr>
          <w:rFonts w:ascii="方正仿宋_GBK" w:hAnsi="方正仿宋_GBK" w:eastAsia="方正仿宋_GBK" w:cs="方正仿宋_GBK"/>
          <w:w w:val="95"/>
        </w:rPr>
        <w:t>2.2</w:t>
      </w:r>
      <w:r>
        <w:rPr>
          <w:rFonts w:hint="eastAsia" w:ascii="方正仿宋_GBK" w:hAnsi="方正仿宋_GBK" w:eastAsia="方正仿宋_GBK" w:cs="方正仿宋_GBK"/>
          <w:w w:val="95"/>
        </w:rPr>
        <w:t>第二类审核评估</w:t>
      </w:r>
      <w:bookmarkEnd w:id="6"/>
    </w:p>
    <w:p>
      <w:pPr>
        <w:widowControl/>
        <w:spacing w:line="560" w:lineRule="exact"/>
        <w:ind w:firstLine="592" w:firstLineChars="200"/>
        <w:rPr>
          <w:rFonts w:ascii="方正仿宋_GBK" w:hAnsi="方正仿宋_GBK" w:eastAsia="方正仿宋_GBK" w:cs="方正仿宋_GBK"/>
          <w:spacing w:val="-12"/>
          <w:sz w:val="32"/>
          <w:szCs w:val="32"/>
        </w:rPr>
      </w:pPr>
      <w:r>
        <w:rPr>
          <w:rFonts w:hint="eastAsia" w:ascii="方正仿宋_GBK" w:hAnsi="方正仿宋_GBK" w:eastAsia="方正仿宋_GBK" w:cs="方正仿宋_GBK"/>
          <w:spacing w:val="-12"/>
          <w:sz w:val="32"/>
          <w:szCs w:val="32"/>
        </w:rPr>
        <w:t>每年</w:t>
      </w:r>
      <w:r>
        <w:rPr>
          <w:rFonts w:ascii="方正仿宋_GBK" w:hAnsi="方正仿宋_GBK" w:eastAsia="方正仿宋_GBK" w:cs="方正仿宋_GBK"/>
          <w:spacing w:val="-12"/>
          <w:sz w:val="32"/>
          <w:szCs w:val="32"/>
        </w:rPr>
        <w:t>5-6</w:t>
      </w:r>
      <w:r>
        <w:rPr>
          <w:rFonts w:hint="eastAsia" w:ascii="方正仿宋_GBK" w:hAnsi="方正仿宋_GBK" w:eastAsia="方正仿宋_GBK" w:cs="方正仿宋_GBK"/>
          <w:spacing w:val="-12"/>
          <w:sz w:val="32"/>
          <w:szCs w:val="32"/>
        </w:rPr>
        <w:t>月份，安徽省教育厅发布关于启动申请下一年度审核评估工作的《通知》。相关高校可依据《通知》要求，提交《普通高等学校本科教育教学审核评估申请报告》（附件</w:t>
      </w:r>
      <w:r>
        <w:rPr>
          <w:rFonts w:ascii="方正仿宋_GBK" w:hAnsi="方正仿宋_GBK" w:eastAsia="方正仿宋_GBK" w:cs="方正仿宋_GBK"/>
          <w:spacing w:val="-12"/>
          <w:sz w:val="32"/>
          <w:szCs w:val="32"/>
        </w:rPr>
        <w:t>1</w:t>
      </w:r>
      <w:r>
        <w:rPr>
          <w:rFonts w:hint="eastAsia" w:ascii="方正仿宋_GBK" w:hAnsi="方正仿宋_GBK" w:eastAsia="方正仿宋_GBK" w:cs="方正仿宋_GBK"/>
          <w:spacing w:val="-12"/>
          <w:sz w:val="32"/>
          <w:szCs w:val="32"/>
        </w:rPr>
        <w:t>）。参加新一轮审核评估高校须向安徽省教育厅提出申请，包括选择评估类型和评估时间。根据安徽省《深化高校学科专业结构改革服务产业创新发展实施方案（</w:t>
      </w:r>
      <w:r>
        <w:rPr>
          <w:rFonts w:ascii="方正仿宋_GBK" w:hAnsi="方正仿宋_GBK" w:eastAsia="方正仿宋_GBK" w:cs="方正仿宋_GBK"/>
          <w:spacing w:val="-12"/>
          <w:sz w:val="32"/>
          <w:szCs w:val="32"/>
        </w:rPr>
        <w:t>2022—2025</w:t>
      </w:r>
      <w:r>
        <w:rPr>
          <w:rFonts w:hint="eastAsia" w:ascii="方正仿宋_GBK" w:hAnsi="方正仿宋_GBK" w:eastAsia="方正仿宋_GBK" w:cs="方正仿宋_GBK"/>
          <w:spacing w:val="-12"/>
          <w:sz w:val="32"/>
          <w:szCs w:val="32"/>
        </w:rPr>
        <w:t>年）》，本轮高校审核评估分为学术研究型、应用研究型和应用技能型三类。</w:t>
      </w:r>
    </w:p>
    <w:p>
      <w:pPr>
        <w:pStyle w:val="2"/>
        <w:spacing w:line="560" w:lineRule="exact"/>
        <w:ind w:firstLine="60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10"/>
          <w:sz w:val="32"/>
          <w:szCs w:val="32"/>
        </w:rPr>
        <w:t>学校提交评估申请时，须同时提交上轮评估整改情况说明，重点</w:t>
      </w:r>
      <w:r>
        <w:rPr>
          <w:rFonts w:hint="eastAsia" w:ascii="方正仿宋_GBK" w:hAnsi="方正仿宋_GBK" w:eastAsia="方正仿宋_GBK" w:cs="方正仿宋_GBK"/>
          <w:spacing w:val="-12"/>
          <w:sz w:val="32"/>
          <w:szCs w:val="32"/>
        </w:rPr>
        <w:t>说明上轮评估专家提出的主要问题是什么（首评高校说明合格评估专家提出的主要问题是什么）；针对这些问题学校改了没</w:t>
      </w:r>
      <w:r>
        <w:rPr>
          <w:rFonts w:hint="eastAsia" w:ascii="方正仿宋_GBK" w:hAnsi="方正仿宋_GBK" w:eastAsia="方正仿宋_GBK" w:cs="方正仿宋_GBK"/>
          <w:spacing w:val="-11"/>
          <w:sz w:val="32"/>
          <w:szCs w:val="32"/>
        </w:rPr>
        <w:t>有，怎么改的，包括采取的主要措施、体制机制上如何保证；整改取</w:t>
      </w:r>
      <w:r>
        <w:rPr>
          <w:rFonts w:hint="eastAsia" w:ascii="方正仿宋_GBK" w:hAnsi="方正仿宋_GBK" w:eastAsia="方正仿宋_GBK" w:cs="方正仿宋_GBK"/>
          <w:spacing w:val="-9"/>
          <w:sz w:val="32"/>
          <w:szCs w:val="32"/>
        </w:rPr>
        <w:t>得的成效。总字数限制在</w:t>
      </w:r>
      <w:r>
        <w:rPr>
          <w:rFonts w:ascii="方正仿宋_GBK" w:hAnsi="方正仿宋_GBK" w:eastAsia="方正仿宋_GBK" w:cs="方正仿宋_GBK"/>
          <w:sz w:val="32"/>
          <w:szCs w:val="32"/>
        </w:rPr>
        <w:t>3000</w:t>
      </w:r>
      <w:r>
        <w:rPr>
          <w:rFonts w:hint="eastAsia" w:ascii="方正仿宋_GBK" w:hAnsi="方正仿宋_GBK" w:eastAsia="方正仿宋_GBK" w:cs="方正仿宋_GBK"/>
          <w:spacing w:val="-9"/>
          <w:sz w:val="32"/>
          <w:szCs w:val="32"/>
        </w:rPr>
        <w:t>字以内，撰写指导见附件</w:t>
      </w:r>
      <w:r>
        <w:rPr>
          <w:rFonts w:ascii="方正仿宋_GBK" w:hAnsi="方正仿宋_GBK" w:eastAsia="方正仿宋_GBK" w:cs="方正仿宋_GBK"/>
          <w:sz w:val="32"/>
          <w:szCs w:val="32"/>
        </w:rPr>
        <w:t>2</w:t>
      </w:r>
      <w:r>
        <w:rPr>
          <w:rFonts w:hint="eastAsia" w:ascii="方正仿宋_GBK" w:hAnsi="方正仿宋_GBK" w:eastAsia="方正仿宋_GBK" w:cs="方正仿宋_GBK"/>
          <w:spacing w:val="-2"/>
          <w:sz w:val="32"/>
          <w:szCs w:val="32"/>
        </w:rPr>
        <w:t>。</w:t>
      </w:r>
      <w:r>
        <w:rPr>
          <w:rFonts w:hint="eastAsia" w:ascii="方正仿宋_GBK" w:hAnsi="方正仿宋_GBK" w:eastAsia="方正仿宋_GBK" w:cs="方正仿宋_GBK"/>
          <w:sz w:val="32"/>
          <w:szCs w:val="32"/>
        </w:rPr>
        <w:t>申请与受理由省教育厅高教处依据《安徽省普通高等学校本科教育教学审核评估实施方案（</w:t>
      </w:r>
      <w:r>
        <w:rPr>
          <w:rFonts w:ascii="方正仿宋_GBK" w:hAnsi="方正仿宋_GBK" w:eastAsia="方正仿宋_GBK" w:cs="方正仿宋_GBK"/>
          <w:sz w:val="32"/>
          <w:szCs w:val="32"/>
        </w:rPr>
        <w:t>2021—2025</w:t>
      </w:r>
      <w:r>
        <w:rPr>
          <w:rFonts w:hint="eastAsia" w:ascii="方正仿宋_GBK" w:hAnsi="方正仿宋_GBK" w:eastAsia="方正仿宋_GBK" w:cs="方正仿宋_GBK"/>
          <w:sz w:val="32"/>
          <w:szCs w:val="32"/>
        </w:rPr>
        <w:t>年）》办理。存在以下情况的高校申请将不予受理：（</w:t>
      </w:r>
      <w:r>
        <w:rPr>
          <w:rFonts w:ascii="方正仿宋_GBK" w:hAnsi="方正仿宋_GBK" w:eastAsia="方正仿宋_GBK" w:cs="方正仿宋_GBK"/>
          <w:sz w:val="32"/>
          <w:szCs w:val="32"/>
        </w:rPr>
        <w:t>1</w:t>
      </w:r>
      <w:r>
        <w:rPr>
          <w:rFonts w:hint="eastAsia" w:ascii="方正仿宋_GBK" w:hAnsi="方正仿宋_GBK" w:eastAsia="方正仿宋_GBK" w:cs="方正仿宋_GBK"/>
          <w:sz w:val="32"/>
          <w:szCs w:val="32"/>
        </w:rPr>
        <w:t>）未达到安徽省审核评估方案要求的评估条件；（</w:t>
      </w:r>
      <w:r>
        <w:rPr>
          <w:rFonts w:ascii="方正仿宋_GBK" w:hAnsi="方正仿宋_GBK" w:eastAsia="方正仿宋_GBK" w:cs="方正仿宋_GBK"/>
          <w:sz w:val="32"/>
          <w:szCs w:val="32"/>
        </w:rPr>
        <w:t>2</w:t>
      </w:r>
      <w:r>
        <w:rPr>
          <w:rFonts w:hint="eastAsia" w:ascii="方正仿宋_GBK" w:hAnsi="方正仿宋_GBK" w:eastAsia="方正仿宋_GBK" w:cs="方正仿宋_GBK"/>
          <w:sz w:val="32"/>
          <w:szCs w:val="32"/>
        </w:rPr>
        <w:t>）选择的评估类型不合适或评估指标不合适；（</w:t>
      </w:r>
      <w:r>
        <w:rPr>
          <w:rFonts w:ascii="方正仿宋_GBK" w:hAnsi="方正仿宋_GBK" w:eastAsia="方正仿宋_GBK" w:cs="方正仿宋_GBK"/>
          <w:sz w:val="32"/>
          <w:szCs w:val="32"/>
        </w:rPr>
        <w:t>3</w:t>
      </w:r>
      <w:r>
        <w:rPr>
          <w:rFonts w:hint="eastAsia" w:ascii="方正仿宋_GBK" w:hAnsi="方正仿宋_GBK" w:eastAsia="方正仿宋_GBK" w:cs="方正仿宋_GBK"/>
          <w:sz w:val="32"/>
          <w:szCs w:val="32"/>
        </w:rPr>
        <w:t>）未完成上一轮评估整改工作；（</w:t>
      </w:r>
      <w:r>
        <w:rPr>
          <w:rFonts w:ascii="方正仿宋_GBK" w:hAnsi="方正仿宋_GBK" w:eastAsia="方正仿宋_GBK" w:cs="方正仿宋_GBK"/>
          <w:sz w:val="32"/>
          <w:szCs w:val="32"/>
        </w:rPr>
        <w:t>4</w:t>
      </w:r>
      <w:r>
        <w:rPr>
          <w:rFonts w:hint="eastAsia" w:ascii="方正仿宋_GBK" w:hAnsi="方正仿宋_GBK" w:eastAsia="方正仿宋_GBK" w:cs="方正仿宋_GBK"/>
          <w:sz w:val="32"/>
          <w:szCs w:val="32"/>
        </w:rPr>
        <w:t>）其他，包括评估准备工作不充分等。申请未予受理的高校需要整改完善后参加下次申请。</w:t>
      </w:r>
    </w:p>
    <w:p>
      <w:pPr>
        <w:pStyle w:val="5"/>
        <w:spacing w:before="0" w:line="560" w:lineRule="exact"/>
        <w:ind w:firstLine="640" w:firstLineChars="200"/>
        <w:rPr>
          <w:rFonts w:ascii="方正仿宋_GBK" w:hAnsi="方正仿宋_GBK" w:eastAsia="方正仿宋_GBK" w:cs="方正仿宋_GBK"/>
        </w:rPr>
      </w:pPr>
      <w:bookmarkStart w:id="7" w:name="_Toc124775229"/>
      <w:r>
        <w:rPr>
          <w:rFonts w:ascii="方正仿宋_GBK" w:hAnsi="方正仿宋_GBK" w:eastAsia="方正仿宋_GBK" w:cs="方正仿宋_GBK"/>
        </w:rPr>
        <w:t>3.</w:t>
      </w:r>
      <w:r>
        <w:rPr>
          <w:rFonts w:hint="eastAsia" w:ascii="方正仿宋_GBK" w:hAnsi="方正仿宋_GBK" w:eastAsia="方正仿宋_GBK" w:cs="方正仿宋_GBK"/>
        </w:rPr>
        <w:t>务实高效组织自评自建工作</w:t>
      </w:r>
      <w:bookmarkEnd w:id="7"/>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在每年</w:t>
      </w:r>
      <w:r>
        <w:rPr>
          <w:rFonts w:ascii="方正仿宋_GBK" w:hAnsi="方正仿宋_GBK" w:eastAsia="方正仿宋_GBK" w:cs="方正仿宋_GBK"/>
          <w:sz w:val="32"/>
          <w:szCs w:val="32"/>
        </w:rPr>
        <w:t>7-8</w:t>
      </w:r>
      <w:r>
        <w:rPr>
          <w:rFonts w:hint="eastAsia" w:ascii="方正仿宋_GBK" w:hAnsi="方正仿宋_GBK" w:eastAsia="方正仿宋_GBK" w:cs="方正仿宋_GBK"/>
          <w:sz w:val="32"/>
          <w:szCs w:val="32"/>
        </w:rPr>
        <w:t>月份安徽省教育厅公布下一年度参加审核评估的高校名单后，相关高校即正式进入自评自建阶段，原则上参评学校自评自建满</w:t>
      </w:r>
      <w:r>
        <w:rPr>
          <w:rFonts w:ascii="方正仿宋_GBK" w:hAnsi="方正仿宋_GBK" w:eastAsia="方正仿宋_GBK" w:cs="方正仿宋_GBK"/>
          <w:sz w:val="32"/>
          <w:szCs w:val="32"/>
        </w:rPr>
        <w:t>6</w:t>
      </w:r>
      <w:r>
        <w:rPr>
          <w:rFonts w:hint="eastAsia" w:ascii="方正仿宋_GBK" w:hAnsi="方正仿宋_GBK" w:eastAsia="方正仿宋_GBK" w:cs="方正仿宋_GBK"/>
          <w:sz w:val="32"/>
          <w:szCs w:val="32"/>
        </w:rPr>
        <w:t>个月后方可提交《自评报告》。</w:t>
      </w:r>
    </w:p>
    <w:p>
      <w:pPr>
        <w:pStyle w:val="6"/>
        <w:spacing w:line="560" w:lineRule="exact"/>
        <w:ind w:firstLine="608" w:firstLineChars="200"/>
        <w:rPr>
          <w:rFonts w:ascii="方正仿宋_GBK" w:hAnsi="方正仿宋_GBK" w:eastAsia="方正仿宋_GBK" w:cs="方正仿宋_GBK"/>
          <w:b w:val="0"/>
          <w:bCs w:val="0"/>
        </w:rPr>
      </w:pPr>
      <w:bookmarkStart w:id="8" w:name="_Toc124775230"/>
      <w:r>
        <w:rPr>
          <w:rFonts w:ascii="方正仿宋_GBK" w:hAnsi="方正仿宋_GBK" w:eastAsia="方正仿宋_GBK" w:cs="方正仿宋_GBK"/>
          <w:w w:val="95"/>
        </w:rPr>
        <w:t>3.1</w:t>
      </w:r>
      <w:r>
        <w:rPr>
          <w:rFonts w:hint="eastAsia" w:ascii="方正仿宋_GBK" w:hAnsi="方正仿宋_GBK" w:eastAsia="方正仿宋_GBK" w:cs="方正仿宋_GBK"/>
          <w:w w:val="95"/>
        </w:rPr>
        <w:t>建立健全组织机构</w:t>
      </w:r>
      <w:bookmarkEnd w:id="8"/>
    </w:p>
    <w:p>
      <w:pPr>
        <w:pStyle w:val="2"/>
        <w:spacing w:line="560" w:lineRule="exact"/>
        <w:ind w:firstLine="604"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9"/>
          <w:sz w:val="32"/>
          <w:szCs w:val="32"/>
        </w:rPr>
        <w:t>学校要强化对自评自建工作的组织领导。学校开展自评自建工作</w:t>
      </w:r>
      <w:r>
        <w:rPr>
          <w:rFonts w:hint="eastAsia" w:ascii="方正仿宋_GBK" w:hAnsi="方正仿宋_GBK" w:eastAsia="方正仿宋_GBK" w:cs="方正仿宋_GBK"/>
          <w:spacing w:val="-10"/>
          <w:sz w:val="32"/>
          <w:szCs w:val="32"/>
        </w:rPr>
        <w:t>前，学校主要领导、主管教学副校长、教务处或本科生院、质</w:t>
      </w:r>
      <w:r>
        <w:rPr>
          <w:rFonts w:hint="eastAsia" w:ascii="方正仿宋_GBK" w:hAnsi="方正仿宋_GBK" w:eastAsia="方正仿宋_GBK" w:cs="方正仿宋_GBK"/>
          <w:spacing w:val="3"/>
          <w:sz w:val="32"/>
          <w:szCs w:val="32"/>
        </w:rPr>
        <w:t>量与评估处等职能部门负责人应</w:t>
      </w:r>
      <w:r>
        <w:rPr>
          <w:rFonts w:hint="eastAsia" w:ascii="方正仿宋_GBK" w:hAnsi="方正仿宋_GBK" w:eastAsia="方正仿宋_GBK" w:cs="方正仿宋_GBK"/>
          <w:sz w:val="32"/>
          <w:szCs w:val="32"/>
        </w:rPr>
        <w:t>参加教育部教育质量评估中心或省教育厅组织的评估培训</w:t>
      </w:r>
      <w:r>
        <w:rPr>
          <w:rFonts w:hint="eastAsia" w:ascii="方正仿宋_GBK" w:hAnsi="方正仿宋_GBK" w:eastAsia="方正仿宋_GBK" w:cs="方正仿宋_GBK"/>
          <w:spacing w:val="3"/>
          <w:sz w:val="32"/>
          <w:szCs w:val="32"/>
        </w:rPr>
        <w:t>，以便深入了解审核评估的精髓要义，</w:t>
      </w:r>
      <w:r>
        <w:rPr>
          <w:rFonts w:hint="eastAsia" w:ascii="方正仿宋_GBK" w:hAnsi="方正仿宋_GBK" w:eastAsia="方正仿宋_GBK" w:cs="方正仿宋_GBK"/>
          <w:spacing w:val="-3"/>
          <w:sz w:val="32"/>
          <w:szCs w:val="32"/>
        </w:rPr>
        <w:t>有效领导、组织学校自评自建工作的开展。</w:t>
      </w:r>
    </w:p>
    <w:p>
      <w:pPr>
        <w:pStyle w:val="2"/>
        <w:spacing w:line="560"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成立评建改工作领导小组，学校主要领导要担任领导小组组长，认真落实人才培养第一责任人的职责，靠前指挥，统筹整个评建改工作。</w:t>
      </w:r>
      <w:r>
        <w:rPr>
          <w:rFonts w:hint="eastAsia" w:ascii="方正仿宋_GBK" w:hAnsi="方正仿宋_GBK" w:eastAsia="方正仿宋_GBK" w:cs="方正仿宋_GBK"/>
          <w:spacing w:val="-8"/>
          <w:sz w:val="32"/>
          <w:szCs w:val="32"/>
        </w:rPr>
        <w:t>评建改工作领导小组职责包括：领导学校本科教育教学评建工作；审定</w:t>
      </w:r>
      <w:r>
        <w:rPr>
          <w:rFonts w:hint="eastAsia" w:ascii="方正仿宋_GBK" w:hAnsi="方正仿宋_GBK" w:eastAsia="方正仿宋_GBK" w:cs="方正仿宋_GBK"/>
          <w:spacing w:val="-11"/>
          <w:sz w:val="32"/>
          <w:szCs w:val="32"/>
        </w:rPr>
        <w:t>学校评建改工作方案、重要文件和自评报告等；定期召开工作会议，指</w:t>
      </w:r>
      <w:r>
        <w:rPr>
          <w:rFonts w:hint="eastAsia" w:ascii="方正仿宋_GBK" w:hAnsi="方正仿宋_GBK" w:eastAsia="方正仿宋_GBK" w:cs="方正仿宋_GBK"/>
          <w:spacing w:val="-9"/>
          <w:sz w:val="32"/>
          <w:szCs w:val="32"/>
        </w:rPr>
        <w:t>导、监督和检查评建改工作的开展情况；对审核评估工作的重大事项、</w:t>
      </w:r>
      <w:r>
        <w:rPr>
          <w:rFonts w:hint="eastAsia" w:ascii="方正仿宋_GBK" w:hAnsi="方正仿宋_GBK" w:eastAsia="方正仿宋_GBK" w:cs="方正仿宋_GBK"/>
          <w:spacing w:val="-12"/>
          <w:sz w:val="32"/>
          <w:szCs w:val="32"/>
        </w:rPr>
        <w:t>政策措施进行审议、协调和决策；落实评建工作经费，为审核评估工</w:t>
      </w:r>
      <w:r>
        <w:rPr>
          <w:rFonts w:hint="eastAsia" w:ascii="方正仿宋_GBK" w:hAnsi="方正仿宋_GBK" w:eastAsia="方正仿宋_GBK" w:cs="方正仿宋_GBK"/>
          <w:spacing w:val="-7"/>
          <w:sz w:val="32"/>
          <w:szCs w:val="32"/>
        </w:rPr>
        <w:t>作提供政策支持和条件保障。</w:t>
      </w:r>
    </w:p>
    <w:p>
      <w:pPr>
        <w:pStyle w:val="2"/>
        <w:spacing w:line="560" w:lineRule="exact"/>
        <w:ind w:firstLine="608"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8"/>
          <w:sz w:val="32"/>
          <w:szCs w:val="32"/>
        </w:rPr>
        <w:t>建议学校评建改工作领导小组下设评建改工作办公室，在领导小组的领导下开展工作。其职责包括：全面落实学校评建改工作领导小组的决策，</w:t>
      </w:r>
      <w:r>
        <w:rPr>
          <w:rFonts w:hint="eastAsia" w:ascii="方正仿宋_GBK" w:hAnsi="方正仿宋_GBK" w:eastAsia="方正仿宋_GBK" w:cs="方正仿宋_GBK"/>
          <w:spacing w:val="-11"/>
          <w:sz w:val="32"/>
          <w:szCs w:val="32"/>
        </w:rPr>
        <w:t>制定评建改工作计划，具体组织协调各专项工作小组以及院系、相关职</w:t>
      </w:r>
      <w:r>
        <w:rPr>
          <w:rFonts w:hint="eastAsia" w:ascii="方正仿宋_GBK" w:hAnsi="方正仿宋_GBK" w:eastAsia="方正仿宋_GBK" w:cs="方正仿宋_GBK"/>
          <w:spacing w:val="-13"/>
          <w:sz w:val="32"/>
          <w:szCs w:val="32"/>
        </w:rPr>
        <w:t>能部门及直附属单位评建改工作的开展；协调专家线上和实地审核评估</w:t>
      </w:r>
      <w:r>
        <w:rPr>
          <w:rFonts w:hint="eastAsia" w:ascii="方正仿宋_GBK" w:hAnsi="方正仿宋_GBK" w:eastAsia="方正仿宋_GBK" w:cs="方正仿宋_GBK"/>
          <w:spacing w:val="-7"/>
          <w:sz w:val="32"/>
          <w:szCs w:val="32"/>
        </w:rPr>
        <w:t>的相关事务等。</w:t>
      </w:r>
    </w:p>
    <w:p>
      <w:pPr>
        <w:pStyle w:val="2"/>
        <w:spacing w:line="560" w:lineRule="exact"/>
        <w:ind w:firstLine="60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10"/>
          <w:sz w:val="32"/>
          <w:szCs w:val="32"/>
        </w:rPr>
        <w:t>此外，各学校可根据自身实际情况，成立各专项工作组，针对本</w:t>
      </w:r>
      <w:r>
        <w:rPr>
          <w:rFonts w:hint="eastAsia" w:ascii="方正仿宋_GBK" w:hAnsi="方正仿宋_GBK" w:eastAsia="方正仿宋_GBK" w:cs="方正仿宋_GBK"/>
          <w:spacing w:val="-13"/>
          <w:sz w:val="32"/>
          <w:szCs w:val="32"/>
        </w:rPr>
        <w:t>科教育教学中的不足，完善立德树人、人才培养体系、制度、各类教育教学资源和</w:t>
      </w:r>
      <w:r>
        <w:rPr>
          <w:rFonts w:hint="eastAsia" w:ascii="方正仿宋_GBK" w:hAnsi="方正仿宋_GBK" w:eastAsia="方正仿宋_GBK" w:cs="方正仿宋_GBK"/>
          <w:spacing w:val="-8"/>
          <w:sz w:val="32"/>
          <w:szCs w:val="32"/>
        </w:rPr>
        <w:t>育人环境的建设等。</w:t>
      </w:r>
    </w:p>
    <w:p>
      <w:pPr>
        <w:pStyle w:val="6"/>
        <w:spacing w:line="560" w:lineRule="exact"/>
        <w:ind w:firstLine="608" w:firstLineChars="200"/>
        <w:rPr>
          <w:rFonts w:ascii="方正仿宋_GBK" w:hAnsi="方正仿宋_GBK" w:eastAsia="方正仿宋_GBK" w:cs="方正仿宋_GBK"/>
          <w:b w:val="0"/>
          <w:bCs w:val="0"/>
          <w:w w:val="95"/>
        </w:rPr>
      </w:pPr>
      <w:bookmarkStart w:id="9" w:name="_Toc124775231"/>
      <w:r>
        <w:rPr>
          <w:rFonts w:ascii="方正仿宋_GBK" w:hAnsi="方正仿宋_GBK" w:eastAsia="方正仿宋_GBK" w:cs="方正仿宋_GBK"/>
          <w:w w:val="95"/>
        </w:rPr>
        <w:t>3.2</w:t>
      </w:r>
      <w:r>
        <w:rPr>
          <w:rFonts w:hint="eastAsia" w:ascii="方正仿宋_GBK" w:hAnsi="方正仿宋_GBK" w:eastAsia="方正仿宋_GBK" w:cs="方正仿宋_GBK"/>
          <w:w w:val="95"/>
        </w:rPr>
        <w:t>确定审核评估方案</w:t>
      </w:r>
      <w:bookmarkEnd w:id="9"/>
    </w:p>
    <w:p>
      <w:pPr>
        <w:pStyle w:val="2"/>
        <w:spacing w:line="560" w:lineRule="exact"/>
        <w:ind w:firstLine="604"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9"/>
          <w:sz w:val="32"/>
          <w:szCs w:val="32"/>
        </w:rPr>
        <w:t>为充分尊重高校的办学自主权，彰显学校办学特色</w:t>
      </w:r>
      <w:r>
        <w:rPr>
          <w:rFonts w:hint="eastAsia" w:ascii="方正仿宋_GBK" w:hAnsi="方正仿宋_GBK" w:eastAsia="方正仿宋_GBK" w:cs="方正仿宋_GBK"/>
          <w:spacing w:val="-15"/>
          <w:sz w:val="32"/>
          <w:szCs w:val="32"/>
        </w:rPr>
        <w:t>。学校在开展自</w:t>
      </w:r>
      <w:r>
        <w:rPr>
          <w:rFonts w:hint="eastAsia" w:ascii="方正仿宋_GBK" w:hAnsi="方正仿宋_GBK" w:eastAsia="方正仿宋_GBK" w:cs="方正仿宋_GBK"/>
          <w:spacing w:val="-12"/>
          <w:sz w:val="32"/>
          <w:szCs w:val="32"/>
        </w:rPr>
        <w:t>评自建工作时，首先要量身为自己定制一种方案，包括选类型、选指</w:t>
      </w:r>
      <w:r>
        <w:rPr>
          <w:rFonts w:hint="eastAsia" w:ascii="方正仿宋_GBK" w:hAnsi="方正仿宋_GBK" w:eastAsia="方正仿宋_GBK" w:cs="方正仿宋_GBK"/>
          <w:spacing w:val="-7"/>
          <w:sz w:val="32"/>
          <w:szCs w:val="32"/>
        </w:rPr>
        <w:t>标和选常模。</w:t>
      </w:r>
    </w:p>
    <w:p>
      <w:pPr>
        <w:pStyle w:val="2"/>
        <w:spacing w:line="560"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sz w:val="32"/>
          <w:szCs w:val="32"/>
        </w:rPr>
        <w:t>选类型。</w:t>
      </w:r>
      <w:r>
        <w:rPr>
          <w:rFonts w:hint="eastAsia" w:ascii="方正仿宋_GBK" w:hAnsi="方正仿宋_GBK" w:eastAsia="方正仿宋_GBK" w:cs="方正仿宋_GBK"/>
          <w:sz w:val="32"/>
          <w:szCs w:val="32"/>
        </w:rPr>
        <w:t>学校在申请审核评估时已经依据大学章程和发展规划，</w:t>
      </w:r>
      <w:r>
        <w:rPr>
          <w:rFonts w:hint="eastAsia" w:ascii="方正仿宋_GBK" w:hAnsi="方正仿宋_GBK" w:eastAsia="方正仿宋_GBK" w:cs="方正仿宋_GBK"/>
          <w:spacing w:val="-12"/>
          <w:sz w:val="32"/>
          <w:szCs w:val="32"/>
        </w:rPr>
        <w:t>综合考虑自身办学定位、人才培养目标和质量保障体系建设与运行情</w:t>
      </w:r>
      <w:r>
        <w:rPr>
          <w:rFonts w:hint="eastAsia" w:ascii="方正仿宋_GBK" w:hAnsi="方正仿宋_GBK" w:eastAsia="方正仿宋_GBK" w:cs="方正仿宋_GBK"/>
          <w:spacing w:val="-13"/>
          <w:sz w:val="32"/>
          <w:szCs w:val="32"/>
        </w:rPr>
        <w:t>况确定了参加哪一类评估。第二类审核评估又分为三种，学校可根据</w:t>
      </w:r>
      <w:r>
        <w:rPr>
          <w:rFonts w:hint="eastAsia" w:ascii="方正仿宋_GBK" w:hAnsi="方正仿宋_GBK" w:eastAsia="方正仿宋_GBK" w:cs="方正仿宋_GBK"/>
          <w:spacing w:val="-14"/>
          <w:sz w:val="32"/>
          <w:szCs w:val="32"/>
        </w:rPr>
        <w:t>自身的人才培养目标定位，从</w:t>
      </w:r>
      <w:r>
        <w:rPr>
          <w:rFonts w:hint="eastAsia" w:ascii="方正仿宋_GBK" w:hAnsi="方正仿宋_GBK" w:eastAsia="方正仿宋_GBK" w:cs="方正仿宋_GBK"/>
          <w:spacing w:val="-7"/>
          <w:sz w:val="32"/>
          <w:szCs w:val="32"/>
        </w:rPr>
        <w:t>学术研究型、应用研究型和应用技能型</w:t>
      </w:r>
      <w:r>
        <w:rPr>
          <w:rFonts w:hint="eastAsia" w:ascii="方正仿宋_GBK" w:hAnsi="方正仿宋_GBK" w:eastAsia="方正仿宋_GBK" w:cs="方正仿宋_GBK"/>
          <w:spacing w:val="-14"/>
          <w:sz w:val="32"/>
          <w:szCs w:val="32"/>
        </w:rPr>
        <w:t>三种方案中选择一种且只能选择其中一种。</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sz w:val="32"/>
          <w:szCs w:val="32"/>
        </w:rPr>
        <w:t>选定性指标。</w:t>
      </w:r>
      <w:r>
        <w:rPr>
          <w:rFonts w:hint="eastAsia" w:ascii="方正仿宋_GBK" w:hAnsi="方正仿宋_GBK" w:eastAsia="方正仿宋_GBK" w:cs="方正仿宋_GBK"/>
          <w:sz w:val="32"/>
          <w:szCs w:val="32"/>
        </w:rPr>
        <w:t>对第二类审核评估二级指标和审核重点包括统一必选项、类型必选项、特色可选项。“统一必选项”无特殊标识，所有高校必须选择；“类型必选项”标识“</w:t>
      </w:r>
      <w:r>
        <w:rPr>
          <w:rFonts w:ascii="方正仿宋_GBK" w:hAnsi="方正仿宋_GBK" w:eastAsia="方正仿宋_GBK" w:cs="方正仿宋_GBK"/>
          <w:sz w:val="32"/>
          <w:szCs w:val="32"/>
        </w:rPr>
        <w:t>B</w:t>
      </w:r>
      <w:r>
        <w:rPr>
          <w:rFonts w:hint="eastAsia" w:ascii="方正仿宋_GBK" w:hAnsi="方正仿宋_GBK" w:eastAsia="方正仿宋_GBK" w:cs="方正仿宋_GBK"/>
          <w:sz w:val="32"/>
          <w:szCs w:val="32"/>
        </w:rPr>
        <w:t>”，选择第一种的高校须统一选择“</w:t>
      </w:r>
      <w:r>
        <w:rPr>
          <w:rFonts w:ascii="方正仿宋_GBK" w:hAnsi="方正仿宋_GBK" w:eastAsia="方正仿宋_GBK" w:cs="方正仿宋_GBK"/>
          <w:sz w:val="32"/>
          <w:szCs w:val="32"/>
        </w:rPr>
        <w:t>B1</w:t>
      </w:r>
      <w:r>
        <w:rPr>
          <w:rFonts w:hint="eastAsia" w:ascii="方正仿宋_GBK" w:hAnsi="方正仿宋_GBK" w:eastAsia="方正仿宋_GBK" w:cs="方正仿宋_GBK"/>
          <w:sz w:val="32"/>
          <w:szCs w:val="32"/>
        </w:rPr>
        <w:t>”；选择第二种的应用研究型高校在同一审核重点下自主选择“</w:t>
      </w:r>
      <w:r>
        <w:rPr>
          <w:rFonts w:ascii="方正仿宋_GBK" w:hAnsi="方正仿宋_GBK" w:eastAsia="方正仿宋_GBK" w:cs="方正仿宋_GBK"/>
          <w:sz w:val="32"/>
          <w:szCs w:val="32"/>
        </w:rPr>
        <w:t>B1</w:t>
      </w:r>
      <w:r>
        <w:rPr>
          <w:rFonts w:hint="eastAsia" w:ascii="方正仿宋_GBK" w:hAnsi="方正仿宋_GBK" w:eastAsia="方正仿宋_GBK" w:cs="方正仿宋_GBK"/>
          <w:sz w:val="32"/>
          <w:szCs w:val="32"/>
        </w:rPr>
        <w:t>”或“</w:t>
      </w:r>
      <w:r>
        <w:rPr>
          <w:rFonts w:ascii="方正仿宋_GBK" w:hAnsi="方正仿宋_GBK" w:eastAsia="方正仿宋_GBK" w:cs="方正仿宋_GBK"/>
          <w:sz w:val="32"/>
          <w:szCs w:val="32"/>
        </w:rPr>
        <w:t>B2</w:t>
      </w:r>
      <w:r>
        <w:rPr>
          <w:rFonts w:hint="eastAsia" w:ascii="方正仿宋_GBK" w:hAnsi="方正仿宋_GBK" w:eastAsia="方正仿宋_GBK" w:cs="方正仿宋_GBK"/>
          <w:sz w:val="32"/>
          <w:szCs w:val="32"/>
        </w:rPr>
        <w:t>”，应用技能型高校须统一选择“</w:t>
      </w:r>
      <w:r>
        <w:rPr>
          <w:rFonts w:ascii="方正仿宋_GBK" w:hAnsi="方正仿宋_GBK" w:eastAsia="方正仿宋_GBK" w:cs="方正仿宋_GBK"/>
          <w:sz w:val="32"/>
          <w:szCs w:val="32"/>
        </w:rPr>
        <w:t>B2</w:t>
      </w:r>
      <w:r>
        <w:rPr>
          <w:rFonts w:hint="eastAsia" w:ascii="方正仿宋_GBK" w:hAnsi="方正仿宋_GBK" w:eastAsia="方正仿宋_GBK" w:cs="方正仿宋_GBK"/>
          <w:sz w:val="32"/>
          <w:szCs w:val="32"/>
        </w:rPr>
        <w:t>”；“特色可选项”标识“</w:t>
      </w:r>
      <w:r>
        <w:rPr>
          <w:rFonts w:ascii="方正仿宋_GBK" w:hAnsi="方正仿宋_GBK" w:eastAsia="方正仿宋_GBK" w:cs="方正仿宋_GBK"/>
          <w:sz w:val="32"/>
          <w:szCs w:val="32"/>
        </w:rPr>
        <w:t>K</w:t>
      </w:r>
      <w:r>
        <w:rPr>
          <w:rFonts w:hint="eastAsia" w:ascii="方正仿宋_GBK" w:hAnsi="方正仿宋_GBK" w:eastAsia="方正仿宋_GBK" w:cs="方正仿宋_GBK"/>
          <w:sz w:val="32"/>
          <w:szCs w:val="32"/>
        </w:rPr>
        <w:t>”，高校可根据办学定位和人才培养目标自主选择，其中：第一种与“</w:t>
      </w:r>
      <w:r>
        <w:rPr>
          <w:rFonts w:ascii="方正仿宋_GBK" w:hAnsi="方正仿宋_GBK" w:eastAsia="方正仿宋_GBK" w:cs="方正仿宋_GBK"/>
          <w:sz w:val="32"/>
          <w:szCs w:val="32"/>
        </w:rPr>
        <w:t>K1</w:t>
      </w:r>
      <w:r>
        <w:rPr>
          <w:rFonts w:hint="eastAsia" w:ascii="方正仿宋_GBK" w:hAnsi="方正仿宋_GBK" w:eastAsia="方正仿宋_GBK" w:cs="方正仿宋_GBK"/>
          <w:sz w:val="32"/>
          <w:szCs w:val="32"/>
        </w:rPr>
        <w:t>”选项对应；选择第二种的应用研究型高校在同一审核重点下自主选择“</w:t>
      </w:r>
      <w:r>
        <w:rPr>
          <w:rFonts w:ascii="方正仿宋_GBK" w:hAnsi="方正仿宋_GBK" w:eastAsia="方正仿宋_GBK" w:cs="方正仿宋_GBK"/>
          <w:sz w:val="32"/>
          <w:szCs w:val="32"/>
        </w:rPr>
        <w:t>K1</w:t>
      </w:r>
      <w:r>
        <w:rPr>
          <w:rFonts w:hint="eastAsia" w:ascii="方正仿宋_GBK" w:hAnsi="方正仿宋_GBK" w:eastAsia="方正仿宋_GBK" w:cs="方正仿宋_GBK"/>
          <w:sz w:val="32"/>
          <w:szCs w:val="32"/>
        </w:rPr>
        <w:t>”或“</w:t>
      </w:r>
      <w:r>
        <w:rPr>
          <w:rFonts w:ascii="方正仿宋_GBK" w:hAnsi="方正仿宋_GBK" w:eastAsia="方正仿宋_GBK" w:cs="方正仿宋_GBK"/>
          <w:sz w:val="32"/>
          <w:szCs w:val="32"/>
        </w:rPr>
        <w:t>K2</w:t>
      </w:r>
      <w:r>
        <w:rPr>
          <w:rFonts w:hint="eastAsia" w:ascii="方正仿宋_GBK" w:hAnsi="方正仿宋_GBK" w:eastAsia="方正仿宋_GBK" w:cs="方正仿宋_GBK"/>
          <w:sz w:val="32"/>
          <w:szCs w:val="32"/>
        </w:rPr>
        <w:t>”，应用技能型高校与“</w:t>
      </w:r>
      <w:r>
        <w:rPr>
          <w:rFonts w:ascii="方正仿宋_GBK" w:hAnsi="方正仿宋_GBK" w:eastAsia="方正仿宋_GBK" w:cs="方正仿宋_GBK"/>
          <w:sz w:val="32"/>
          <w:szCs w:val="32"/>
        </w:rPr>
        <w:t>K2</w:t>
      </w:r>
      <w:r>
        <w:rPr>
          <w:rFonts w:hint="eastAsia" w:ascii="方正仿宋_GBK" w:hAnsi="方正仿宋_GBK" w:eastAsia="方正仿宋_GBK" w:cs="方正仿宋_GBK"/>
          <w:sz w:val="32"/>
          <w:szCs w:val="32"/>
        </w:rPr>
        <w:t>”选项对应。</w:t>
      </w:r>
    </w:p>
    <w:p>
      <w:pPr>
        <w:pStyle w:val="2"/>
        <w:spacing w:line="560"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sz w:val="32"/>
          <w:szCs w:val="32"/>
        </w:rPr>
        <w:t>选定量指标</w:t>
      </w:r>
      <w:r>
        <w:rPr>
          <w:rFonts w:hint="eastAsia" w:ascii="方正仿宋_GBK" w:hAnsi="方正仿宋_GBK" w:eastAsia="方正仿宋_GBK" w:cs="方正仿宋_GBK"/>
          <w:spacing w:val="-12"/>
          <w:sz w:val="32"/>
          <w:szCs w:val="32"/>
        </w:rPr>
        <w:t>。定量指标聚焦反映高校本科教育教学改革与创新发展的关键数据，包括国家双一流建设动态监测指标、国家基本办学条件监测指标、教育部关于本科人才培养的相关评价指标等，集中体现</w:t>
      </w:r>
      <w:r>
        <w:rPr>
          <w:rFonts w:hint="eastAsia" w:ascii="方正仿宋_GBK" w:hAnsi="方正仿宋_GBK" w:eastAsia="方正仿宋_GBK" w:cs="方正仿宋_GBK"/>
          <w:spacing w:val="-11"/>
          <w:sz w:val="32"/>
          <w:szCs w:val="32"/>
        </w:rPr>
        <w:t>了新时代国家对各类学校本科人才培养的新要求。审核重点中定量指标的具体要求可参考国家相关标准，分为【必选】项和【可选】项。</w:t>
      </w:r>
      <w:r>
        <w:rPr>
          <w:rFonts w:hint="eastAsia" w:ascii="方正仿宋_GBK" w:hAnsi="方正仿宋_GBK" w:eastAsia="方正仿宋_GBK" w:cs="方正仿宋_GBK"/>
          <w:spacing w:val="-8"/>
          <w:sz w:val="32"/>
          <w:szCs w:val="32"/>
        </w:rPr>
        <w:t>【必选】是指该定量指标学校必须选择；【可选】是指该定量指标学</w:t>
      </w:r>
      <w:r>
        <w:rPr>
          <w:rFonts w:hint="eastAsia" w:ascii="方正仿宋_GBK" w:hAnsi="方正仿宋_GBK" w:eastAsia="方正仿宋_GBK" w:cs="方正仿宋_GBK"/>
          <w:spacing w:val="-16"/>
          <w:sz w:val="32"/>
          <w:szCs w:val="32"/>
        </w:rPr>
        <w:t>校可结合办学实际和优势特色自主选择。【必选】项对标国家底线要</w:t>
      </w:r>
      <w:r>
        <w:rPr>
          <w:rFonts w:hint="eastAsia" w:ascii="方正仿宋_GBK" w:hAnsi="方正仿宋_GBK" w:eastAsia="方正仿宋_GBK" w:cs="方正仿宋_GBK"/>
          <w:spacing w:val="-12"/>
          <w:sz w:val="32"/>
          <w:szCs w:val="32"/>
        </w:rPr>
        <w:t>求，包括国家对高校思政教育要求、教师队伍要求、基本办学条件要</w:t>
      </w:r>
      <w:r>
        <w:rPr>
          <w:rFonts w:hint="eastAsia" w:ascii="方正仿宋_GBK" w:hAnsi="方正仿宋_GBK" w:eastAsia="方正仿宋_GBK" w:cs="方正仿宋_GBK"/>
          <w:spacing w:val="-19"/>
          <w:sz w:val="32"/>
          <w:szCs w:val="32"/>
        </w:rPr>
        <w:t>求、学生发展与支持服务方面的要求等；【可选】项引导高校办出特</w:t>
      </w:r>
      <w:r>
        <w:rPr>
          <w:rFonts w:hint="eastAsia" w:ascii="方正仿宋_GBK" w:hAnsi="方正仿宋_GBK" w:eastAsia="方正仿宋_GBK" w:cs="方正仿宋_GBK"/>
          <w:spacing w:val="-15"/>
          <w:sz w:val="32"/>
          <w:szCs w:val="32"/>
        </w:rPr>
        <w:t>色和水平，包括学校卓越教学及学生培养所取得的成效等。</w:t>
      </w:r>
      <w:r>
        <w:rPr>
          <w:rFonts w:hint="eastAsia" w:ascii="方正仿宋_GBK" w:hAnsi="方正仿宋_GBK" w:eastAsia="方正仿宋_GBK" w:cs="方正仿宋_GBK"/>
          <w:spacing w:val="-9"/>
          <w:sz w:val="32"/>
          <w:szCs w:val="32"/>
        </w:rPr>
        <w:t>第二类审核评估高校可根据自身发展需要和实际情况自主选择至少</w:t>
      </w:r>
      <w:r>
        <w:rPr>
          <w:rFonts w:ascii="方正仿宋_GBK" w:hAnsi="方正仿宋_GBK" w:eastAsia="方正仿宋_GBK" w:cs="方正仿宋_GBK"/>
          <w:sz w:val="32"/>
          <w:szCs w:val="32"/>
        </w:rPr>
        <w:t>8</w:t>
      </w:r>
      <w:r>
        <w:rPr>
          <w:rFonts w:hint="eastAsia" w:ascii="方正仿宋_GBK" w:hAnsi="方正仿宋_GBK" w:eastAsia="方正仿宋_GBK" w:cs="方正仿宋_GBK"/>
          <w:spacing w:val="-24"/>
          <w:sz w:val="32"/>
          <w:szCs w:val="32"/>
        </w:rPr>
        <w:t>项。表中定量指标计算原则上参照《中国教育监测与评价统计指标体系（</w:t>
      </w:r>
      <w:r>
        <w:rPr>
          <w:rFonts w:ascii="方正仿宋_GBK" w:hAnsi="方正仿宋_GBK" w:eastAsia="方正仿宋_GBK" w:cs="方正仿宋_GBK"/>
          <w:spacing w:val="-24"/>
          <w:sz w:val="32"/>
          <w:szCs w:val="32"/>
        </w:rPr>
        <w:t>2020</w:t>
      </w:r>
      <w:r>
        <w:rPr>
          <w:rFonts w:hint="eastAsia" w:ascii="方正仿宋_GBK" w:hAnsi="方正仿宋_GBK" w:eastAsia="方正仿宋_GBK" w:cs="方正仿宋_GBK"/>
          <w:spacing w:val="20"/>
          <w:sz w:val="32"/>
          <w:szCs w:val="32"/>
        </w:rPr>
        <w:t>年版</w:t>
      </w:r>
      <w:r>
        <w:rPr>
          <w:rFonts w:hint="eastAsia" w:ascii="方正仿宋_GBK" w:hAnsi="方正仿宋_GBK" w:eastAsia="方正仿宋_GBK" w:cs="方正仿宋_GBK"/>
          <w:spacing w:val="-142"/>
          <w:sz w:val="32"/>
          <w:szCs w:val="32"/>
        </w:rPr>
        <w:t>）</w:t>
      </w:r>
      <w:r>
        <w:rPr>
          <w:rFonts w:hint="eastAsia" w:ascii="方正仿宋_GBK" w:hAnsi="方正仿宋_GBK" w:eastAsia="方正仿宋_GBK" w:cs="方正仿宋_GBK"/>
          <w:spacing w:val="-140"/>
          <w:sz w:val="32"/>
          <w:szCs w:val="32"/>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pacing w:val="-3"/>
          <w:sz w:val="32"/>
          <w:szCs w:val="32"/>
        </w:rPr>
        <w:t>教发〔</w:t>
      </w:r>
      <w:r>
        <w:rPr>
          <w:rFonts w:ascii="方正仿宋_GBK" w:hAnsi="方正仿宋_GBK" w:eastAsia="方正仿宋_GBK" w:cs="方正仿宋_GBK"/>
          <w:sz w:val="32"/>
          <w:szCs w:val="32"/>
        </w:rPr>
        <w:t>2020</w:t>
      </w:r>
      <w:r>
        <w:rPr>
          <w:rFonts w:hint="eastAsia" w:ascii="方正仿宋_GBK" w:hAnsi="方正仿宋_GBK" w:eastAsia="方正仿宋_GBK" w:cs="方正仿宋_GBK"/>
          <w:sz w:val="32"/>
          <w:szCs w:val="32"/>
        </w:rPr>
        <w:t>〕</w:t>
      </w:r>
      <w:r>
        <w:rPr>
          <w:rFonts w:ascii="方正仿宋_GBK" w:hAnsi="方正仿宋_GBK" w:eastAsia="方正仿宋_GBK" w:cs="方正仿宋_GBK"/>
          <w:sz w:val="32"/>
          <w:szCs w:val="32"/>
        </w:rPr>
        <w:t>6</w:t>
      </w:r>
      <w:r>
        <w:rPr>
          <w:rFonts w:hint="eastAsia" w:ascii="方正仿宋_GBK" w:hAnsi="方正仿宋_GBK" w:eastAsia="方正仿宋_GBK" w:cs="方正仿宋_GBK"/>
          <w:spacing w:val="-34"/>
          <w:sz w:val="32"/>
          <w:szCs w:val="32"/>
        </w:rPr>
        <w:t>号</w:t>
      </w:r>
      <w:r>
        <w:rPr>
          <w:rFonts w:hint="eastAsia" w:ascii="方正仿宋_GBK" w:hAnsi="方正仿宋_GBK" w:eastAsia="方正仿宋_GBK" w:cs="方正仿宋_GBK"/>
          <w:spacing w:val="-140"/>
          <w:sz w:val="32"/>
          <w:szCs w:val="32"/>
        </w:rPr>
        <w:t>）</w:t>
      </w:r>
      <w:r>
        <w:rPr>
          <w:rFonts w:hint="eastAsia" w:ascii="方正仿宋_GBK" w:hAnsi="方正仿宋_GBK" w:eastAsia="方正仿宋_GBK" w:cs="方正仿宋_GBK"/>
          <w:sz w:val="32"/>
          <w:szCs w:val="32"/>
        </w:rPr>
        <w:t>。</w:t>
      </w:r>
    </w:p>
    <w:p>
      <w:pPr>
        <w:pStyle w:val="2"/>
        <w:spacing w:line="560" w:lineRule="exact"/>
        <w:ind w:firstLine="592"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spacing w:val="-12"/>
          <w:sz w:val="32"/>
          <w:szCs w:val="32"/>
        </w:rPr>
        <w:t>选常模。</w:t>
      </w:r>
      <w:r>
        <w:rPr>
          <w:rFonts w:hint="eastAsia" w:ascii="方正仿宋_GBK" w:hAnsi="方正仿宋_GBK" w:eastAsia="方正仿宋_GBK" w:cs="方正仿宋_GBK"/>
          <w:spacing w:val="-3"/>
          <w:sz w:val="32"/>
          <w:szCs w:val="32"/>
        </w:rPr>
        <w:t>新一轮审核评估引导</w:t>
      </w:r>
      <w:r>
        <w:rPr>
          <w:rFonts w:hint="eastAsia" w:ascii="方正仿宋_GBK" w:hAnsi="方正仿宋_GBK" w:eastAsia="方正仿宋_GBK" w:cs="方正仿宋_GBK"/>
          <w:b/>
          <w:sz w:val="32"/>
          <w:szCs w:val="32"/>
        </w:rPr>
        <w:t>同类</w:t>
      </w:r>
      <w:r>
        <w:rPr>
          <w:rFonts w:hint="eastAsia" w:ascii="方正仿宋_GBK" w:hAnsi="方正仿宋_GBK" w:eastAsia="方正仿宋_GBK" w:cs="方正仿宋_GBK"/>
          <w:spacing w:val="-8"/>
          <w:sz w:val="32"/>
          <w:szCs w:val="32"/>
        </w:rPr>
        <w:t>型学校通过常模比较长短，即</w:t>
      </w:r>
      <w:r>
        <w:rPr>
          <w:rFonts w:hint="eastAsia" w:ascii="方正仿宋_GBK" w:hAnsi="方正仿宋_GBK" w:eastAsia="方正仿宋_GBK" w:cs="方正仿宋_GBK"/>
          <w:spacing w:val="-10"/>
          <w:sz w:val="32"/>
          <w:szCs w:val="32"/>
        </w:rPr>
        <w:t>定量指标可作同类常模和他类常模比较。同类常模比较是指参评学校</w:t>
      </w:r>
      <w:r>
        <w:rPr>
          <w:rFonts w:hint="eastAsia" w:ascii="方正仿宋_GBK" w:hAnsi="方正仿宋_GBK" w:eastAsia="方正仿宋_GBK" w:cs="方正仿宋_GBK"/>
          <w:spacing w:val="-13"/>
          <w:sz w:val="32"/>
          <w:szCs w:val="32"/>
        </w:rPr>
        <w:t>选取同类型高校数据平均值作比较，他类常模比较是指参评学校根据自身实际和发展需求，自主选取、量身定制不同类型</w:t>
      </w:r>
      <w:r>
        <w:rPr>
          <w:rFonts w:hint="eastAsia" w:ascii="方正仿宋_GBK" w:hAnsi="方正仿宋_GBK" w:eastAsia="方正仿宋_GBK" w:cs="方正仿宋_GBK"/>
          <w:spacing w:val="-3"/>
          <w:sz w:val="32"/>
          <w:szCs w:val="32"/>
        </w:rPr>
        <w:t>（</w:t>
      </w:r>
      <w:r>
        <w:rPr>
          <w:rFonts w:hint="eastAsia" w:ascii="方正仿宋_GBK" w:hAnsi="方正仿宋_GBK" w:eastAsia="方正仿宋_GBK" w:cs="方正仿宋_GBK"/>
          <w:spacing w:val="-1"/>
          <w:sz w:val="32"/>
          <w:szCs w:val="32"/>
        </w:rPr>
        <w:t>可以为多个类型</w:t>
      </w:r>
      <w:r>
        <w:rPr>
          <w:rFonts w:hint="eastAsia" w:ascii="方正仿宋_GBK" w:hAnsi="方正仿宋_GBK" w:eastAsia="方正仿宋_GBK" w:cs="方正仿宋_GBK"/>
          <w:spacing w:val="-48"/>
          <w:sz w:val="32"/>
          <w:szCs w:val="32"/>
        </w:rPr>
        <w:t>）</w:t>
      </w:r>
      <w:r>
        <w:rPr>
          <w:rFonts w:hint="eastAsia" w:ascii="方正仿宋_GBK" w:hAnsi="方正仿宋_GBK" w:eastAsia="方正仿宋_GBK" w:cs="方正仿宋_GBK"/>
          <w:spacing w:val="-7"/>
          <w:sz w:val="32"/>
          <w:szCs w:val="32"/>
        </w:rPr>
        <w:t>高校数据平均值作比较。各类常模数据由教育部教育质量评估中心负责提</w:t>
      </w:r>
      <w:r>
        <w:rPr>
          <w:rFonts w:hint="eastAsia" w:ascii="方正仿宋_GBK" w:hAnsi="方正仿宋_GBK" w:eastAsia="方正仿宋_GBK" w:cs="方正仿宋_GBK"/>
          <w:spacing w:val="-12"/>
          <w:sz w:val="32"/>
          <w:szCs w:val="32"/>
        </w:rPr>
        <w:t>供，选择分为必选和自选，其中自选至少一种。第一类评估必选常模</w:t>
      </w:r>
      <w:r>
        <w:rPr>
          <w:rFonts w:hint="eastAsia" w:ascii="方正仿宋_GBK" w:hAnsi="方正仿宋_GBK" w:eastAsia="方正仿宋_GBK" w:cs="方正仿宋_GBK"/>
          <w:spacing w:val="-11"/>
          <w:sz w:val="32"/>
          <w:szCs w:val="32"/>
        </w:rPr>
        <w:t>是以“双一流”建设高校的数据。第二类第一种</w:t>
      </w:r>
      <w:r>
        <w:rPr>
          <w:rFonts w:hint="eastAsia" w:ascii="方正仿宋_GBK" w:hAnsi="方正仿宋_GBK" w:eastAsia="方正仿宋_GBK" w:cs="方正仿宋_GBK"/>
          <w:sz w:val="32"/>
          <w:szCs w:val="32"/>
        </w:rPr>
        <w:t>评估的必选常模是以</w:t>
      </w:r>
      <w:r>
        <w:rPr>
          <w:rFonts w:hint="eastAsia" w:ascii="方正仿宋_GBK" w:hAnsi="方正仿宋_GBK" w:eastAsia="方正仿宋_GBK" w:cs="方正仿宋_GBK"/>
          <w:spacing w:val="-6"/>
          <w:sz w:val="32"/>
          <w:szCs w:val="32"/>
        </w:rPr>
        <w:t>国内有博士点高校的数据；第二类第二种</w:t>
      </w:r>
      <w:r>
        <w:rPr>
          <w:rFonts w:hint="eastAsia" w:ascii="方正仿宋_GBK" w:hAnsi="方正仿宋_GBK" w:eastAsia="方正仿宋_GBK" w:cs="方正仿宋_GBK"/>
          <w:spacing w:val="-3"/>
          <w:sz w:val="32"/>
          <w:szCs w:val="32"/>
        </w:rPr>
        <w:t>评估的必选常模是以本省（区、市）常模或全国同类型高校的数据</w:t>
      </w:r>
      <w:r>
        <w:rPr>
          <w:rFonts w:hint="eastAsia" w:ascii="方正仿宋_GBK" w:hAnsi="方正仿宋_GBK" w:eastAsia="方正仿宋_GBK" w:cs="方正仿宋_GBK"/>
          <w:spacing w:val="-8"/>
          <w:sz w:val="32"/>
          <w:szCs w:val="32"/>
        </w:rPr>
        <w:t>；第三类第三种</w:t>
      </w:r>
      <w:r>
        <w:rPr>
          <w:rFonts w:hint="eastAsia" w:ascii="方正仿宋_GBK" w:hAnsi="方正仿宋_GBK" w:eastAsia="方正仿宋_GBK" w:cs="方正仿宋_GBK"/>
          <w:sz w:val="32"/>
          <w:szCs w:val="32"/>
        </w:rPr>
        <w:t>评估的</w:t>
      </w:r>
      <w:r>
        <w:rPr>
          <w:rFonts w:hint="eastAsia" w:ascii="方正仿宋_GBK" w:hAnsi="方正仿宋_GBK" w:eastAsia="方正仿宋_GBK" w:cs="方正仿宋_GBK"/>
          <w:spacing w:val="-7"/>
          <w:sz w:val="32"/>
          <w:szCs w:val="32"/>
        </w:rPr>
        <w:t>必选常模是以全国同类型高校数据或本省高校数据为常模。学校也可自选高校进行常模比较，最多支持自选</w:t>
      </w:r>
      <w:r>
        <w:rPr>
          <w:rFonts w:ascii="方正仿宋_GBK" w:hAnsi="方正仿宋_GBK" w:eastAsia="方正仿宋_GBK" w:cs="方正仿宋_GBK"/>
          <w:spacing w:val="-7"/>
          <w:sz w:val="32"/>
          <w:szCs w:val="32"/>
        </w:rPr>
        <w:t>3</w:t>
      </w:r>
      <w:r>
        <w:rPr>
          <w:rFonts w:hint="eastAsia" w:ascii="方正仿宋_GBK" w:hAnsi="方正仿宋_GBK" w:eastAsia="方正仿宋_GBK" w:cs="方正仿宋_GBK"/>
          <w:spacing w:val="-7"/>
          <w:sz w:val="32"/>
          <w:szCs w:val="32"/>
        </w:rPr>
        <w:t>组，每组不少于</w:t>
      </w:r>
      <w:r>
        <w:rPr>
          <w:rFonts w:ascii="方正仿宋_GBK" w:hAnsi="方正仿宋_GBK" w:eastAsia="方正仿宋_GBK" w:cs="方正仿宋_GBK"/>
          <w:spacing w:val="-7"/>
          <w:sz w:val="32"/>
          <w:szCs w:val="32"/>
        </w:rPr>
        <w:t>5</w:t>
      </w:r>
      <w:r>
        <w:rPr>
          <w:rFonts w:hint="eastAsia" w:ascii="方正仿宋_GBK" w:hAnsi="方正仿宋_GBK" w:eastAsia="方正仿宋_GBK" w:cs="方正仿宋_GBK"/>
          <w:spacing w:val="-7"/>
          <w:sz w:val="32"/>
          <w:szCs w:val="32"/>
        </w:rPr>
        <w:t>所高校。常模由学</w:t>
      </w:r>
      <w:r>
        <w:rPr>
          <w:rFonts w:hint="eastAsia" w:ascii="方正仿宋_GBK" w:hAnsi="方正仿宋_GBK" w:eastAsia="方正仿宋_GBK" w:cs="方正仿宋_GBK"/>
          <w:spacing w:val="-6"/>
          <w:sz w:val="32"/>
          <w:szCs w:val="32"/>
        </w:rPr>
        <w:t>校根据需要确定，可以选择多个，但如果确定了选择哪类常模，则所</w:t>
      </w:r>
      <w:r>
        <w:rPr>
          <w:rFonts w:hint="eastAsia" w:ascii="方正仿宋_GBK" w:hAnsi="方正仿宋_GBK" w:eastAsia="方正仿宋_GBK" w:cs="方正仿宋_GBK"/>
          <w:spacing w:val="-9"/>
          <w:sz w:val="32"/>
          <w:szCs w:val="32"/>
        </w:rPr>
        <w:t>有定量指标均须与此类常模做比较，不可以有选择性比较。常模</w:t>
      </w:r>
      <w:r>
        <w:rPr>
          <w:rFonts w:hint="eastAsia" w:ascii="方正仿宋_GBK" w:hAnsi="方正仿宋_GBK" w:eastAsia="方正仿宋_GBK" w:cs="方正仿宋_GBK"/>
          <w:spacing w:val="-11"/>
          <w:sz w:val="32"/>
          <w:szCs w:val="32"/>
        </w:rPr>
        <w:t>的选择重点在找差距，要有助于通过指标数字比较帮助学校了解自身与同类高校、标杆学校的差距及存在的问题，不断促进学校改革发展</w:t>
      </w:r>
      <w:r>
        <w:rPr>
          <w:rFonts w:hint="eastAsia" w:ascii="方正仿宋_GBK" w:hAnsi="方正仿宋_GBK" w:eastAsia="方正仿宋_GBK" w:cs="方正仿宋_GBK"/>
          <w:spacing w:val="-4"/>
          <w:sz w:val="32"/>
          <w:szCs w:val="32"/>
        </w:rPr>
        <w:t>。</w:t>
      </w:r>
    </w:p>
    <w:p>
      <w:pPr>
        <w:pStyle w:val="2"/>
        <w:spacing w:line="560" w:lineRule="exact"/>
        <w:ind w:firstLine="604"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9"/>
          <w:sz w:val="32"/>
          <w:szCs w:val="32"/>
        </w:rPr>
        <w:t>总之，在方案选择上，各高校要合理定位，理性选择，不盲目攀</w:t>
      </w:r>
      <w:r>
        <w:rPr>
          <w:rFonts w:hint="eastAsia" w:ascii="方正仿宋_GBK" w:hAnsi="方正仿宋_GBK" w:eastAsia="方正仿宋_GBK" w:cs="方正仿宋_GBK"/>
          <w:spacing w:val="-6"/>
          <w:sz w:val="32"/>
          <w:szCs w:val="32"/>
        </w:rPr>
        <w:t>比，鼓励高校在不同领域各展所长、内涵发展、特色发展。</w:t>
      </w:r>
    </w:p>
    <w:p>
      <w:pPr>
        <w:pStyle w:val="6"/>
        <w:spacing w:line="560" w:lineRule="exact"/>
        <w:ind w:firstLine="608" w:firstLineChars="200"/>
        <w:rPr>
          <w:rFonts w:ascii="方正仿宋_GBK" w:hAnsi="方正仿宋_GBK" w:eastAsia="方正仿宋_GBK" w:cs="方正仿宋_GBK"/>
          <w:b w:val="0"/>
          <w:bCs w:val="0"/>
          <w:w w:val="95"/>
        </w:rPr>
      </w:pPr>
      <w:bookmarkStart w:id="10" w:name="_Toc124775232"/>
      <w:r>
        <w:rPr>
          <w:rFonts w:ascii="方正仿宋_GBK" w:hAnsi="方正仿宋_GBK" w:eastAsia="方正仿宋_GBK" w:cs="方正仿宋_GBK"/>
          <w:w w:val="95"/>
        </w:rPr>
        <w:t>3.3</w:t>
      </w:r>
      <w:r>
        <w:rPr>
          <w:rFonts w:hint="eastAsia" w:ascii="方正仿宋_GBK" w:hAnsi="方正仿宋_GBK" w:eastAsia="方正仿宋_GBK" w:cs="方正仿宋_GBK"/>
          <w:w w:val="95"/>
        </w:rPr>
        <w:t>落实评建改工作任务</w:t>
      </w:r>
      <w:bookmarkEnd w:id="10"/>
    </w:p>
    <w:p>
      <w:pPr>
        <w:pStyle w:val="2"/>
        <w:spacing w:line="560" w:lineRule="exact"/>
        <w:ind w:firstLine="58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spacing w:val="-15"/>
          <w:sz w:val="32"/>
          <w:szCs w:val="32"/>
        </w:rPr>
        <w:t>全面宣传发动。</w:t>
      </w:r>
      <w:r>
        <w:rPr>
          <w:rFonts w:hint="eastAsia" w:ascii="方正仿宋_GBK" w:hAnsi="方正仿宋_GBK" w:eastAsia="方正仿宋_GBK" w:cs="方正仿宋_GBK"/>
          <w:spacing w:val="-3"/>
          <w:sz w:val="32"/>
          <w:szCs w:val="32"/>
        </w:rPr>
        <w:t>审核评估是对学校本科教育教学工作的全面考核</w:t>
      </w:r>
      <w:r>
        <w:rPr>
          <w:rFonts w:hint="eastAsia" w:ascii="方正仿宋_GBK" w:hAnsi="方正仿宋_GBK" w:eastAsia="方正仿宋_GBK" w:cs="方正仿宋_GBK"/>
          <w:spacing w:val="-11"/>
          <w:sz w:val="32"/>
          <w:szCs w:val="32"/>
        </w:rPr>
        <w:t>和整体评价，须全体教职员工全员、全程参与。因此，学校应面向全体师</w:t>
      </w:r>
      <w:r>
        <w:rPr>
          <w:rFonts w:hint="eastAsia" w:ascii="方正仿宋_GBK" w:hAnsi="方正仿宋_GBK" w:eastAsia="方正仿宋_GBK" w:cs="方正仿宋_GBK"/>
          <w:spacing w:val="-12"/>
          <w:sz w:val="32"/>
          <w:szCs w:val="32"/>
        </w:rPr>
        <w:t>生员工宣传发动，提高对审核评估重要意义的认识，深刻认识审核评估对学校改革与发展的重要意义，对改进教育教学工作、提升教育教学质量的作用。通过审核评估，可以强化内涵建设和质量文化，促进</w:t>
      </w:r>
      <w:r>
        <w:rPr>
          <w:rFonts w:hint="eastAsia" w:ascii="方正仿宋_GBK" w:hAnsi="方正仿宋_GBK" w:eastAsia="方正仿宋_GBK" w:cs="方正仿宋_GBK"/>
          <w:spacing w:val="-13"/>
          <w:sz w:val="32"/>
          <w:szCs w:val="32"/>
        </w:rPr>
        <w:t>本科教育教学工作的不断完善和发展。全面理解审核评估实施方案的新变化，强化立德树人，把立德树人成效作为检验和评价学校一切工</w:t>
      </w:r>
      <w:r>
        <w:rPr>
          <w:rFonts w:hint="eastAsia" w:ascii="方正仿宋_GBK" w:hAnsi="方正仿宋_GBK" w:eastAsia="方正仿宋_GBK" w:cs="方正仿宋_GBK"/>
          <w:spacing w:val="-12"/>
          <w:sz w:val="32"/>
          <w:szCs w:val="32"/>
        </w:rPr>
        <w:t>作的根本标准；深入领会审核评估的新理念，准确把握自评自建工作</w:t>
      </w:r>
      <w:r>
        <w:rPr>
          <w:rFonts w:hint="eastAsia" w:ascii="方正仿宋_GBK" w:hAnsi="方正仿宋_GBK" w:eastAsia="方正仿宋_GBK" w:cs="方正仿宋_GBK"/>
          <w:spacing w:val="-8"/>
          <w:sz w:val="32"/>
          <w:szCs w:val="32"/>
        </w:rPr>
        <w:t>的新要求。</w:t>
      </w:r>
    </w:p>
    <w:p>
      <w:pPr>
        <w:pStyle w:val="2"/>
        <w:spacing w:line="560" w:lineRule="exact"/>
        <w:ind w:firstLine="612"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7"/>
          <w:sz w:val="32"/>
          <w:szCs w:val="32"/>
        </w:rPr>
        <w:t>学校各级领导干部和全体师生员工要以审核评估工作为契机，凝</w:t>
      </w:r>
      <w:r>
        <w:rPr>
          <w:rFonts w:hint="eastAsia" w:ascii="方正仿宋_GBK" w:hAnsi="方正仿宋_GBK" w:eastAsia="方正仿宋_GBK" w:cs="方正仿宋_GBK"/>
          <w:spacing w:val="-24"/>
          <w:sz w:val="32"/>
          <w:szCs w:val="32"/>
        </w:rPr>
        <w:t>聚全校力量，全体发动、全面准备、全员参与，总结优势、突出特色、</w:t>
      </w:r>
      <w:r>
        <w:rPr>
          <w:rFonts w:hint="eastAsia" w:ascii="方正仿宋_GBK" w:hAnsi="方正仿宋_GBK" w:eastAsia="方正仿宋_GBK" w:cs="方正仿宋_GBK"/>
          <w:spacing w:val="-11"/>
          <w:sz w:val="32"/>
          <w:szCs w:val="32"/>
        </w:rPr>
        <w:t>分析问题、补足短板，形成个性鲜明的质量文化，落实国家本科教育</w:t>
      </w:r>
      <w:r>
        <w:rPr>
          <w:rFonts w:hint="eastAsia" w:ascii="方正仿宋_GBK" w:hAnsi="方正仿宋_GBK" w:eastAsia="方正仿宋_GBK" w:cs="方正仿宋_GBK"/>
          <w:spacing w:val="-12"/>
          <w:sz w:val="32"/>
          <w:szCs w:val="32"/>
        </w:rPr>
        <w:t>教学新要求，深入推进教育教学综合改革，切实提高本科人才培养</w:t>
      </w:r>
      <w:r>
        <w:rPr>
          <w:rFonts w:hint="eastAsia" w:ascii="方正仿宋_GBK" w:hAnsi="方正仿宋_GBK" w:eastAsia="方正仿宋_GBK" w:cs="方正仿宋_GBK"/>
          <w:spacing w:val="-8"/>
          <w:sz w:val="32"/>
          <w:szCs w:val="32"/>
        </w:rPr>
        <w:t>保障能力。</w:t>
      </w:r>
    </w:p>
    <w:p>
      <w:pPr>
        <w:pStyle w:val="2"/>
        <w:spacing w:line="560" w:lineRule="exact"/>
        <w:ind w:firstLine="60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spacing w:val="-10"/>
          <w:sz w:val="32"/>
          <w:szCs w:val="32"/>
        </w:rPr>
        <w:t>制定自评自建工作方案。</w:t>
      </w:r>
      <w:r>
        <w:rPr>
          <w:rFonts w:hint="eastAsia" w:ascii="方正仿宋_GBK" w:hAnsi="方正仿宋_GBK" w:eastAsia="方正仿宋_GBK" w:cs="方正仿宋_GBK"/>
          <w:spacing w:val="-3"/>
          <w:sz w:val="32"/>
          <w:szCs w:val="32"/>
        </w:rPr>
        <w:t>学校需根据所确定的接受审核评估时间，</w:t>
      </w:r>
      <w:r>
        <w:rPr>
          <w:rFonts w:hint="eastAsia" w:ascii="方正仿宋_GBK" w:hAnsi="方正仿宋_GBK" w:eastAsia="方正仿宋_GBK" w:cs="方正仿宋_GBK"/>
          <w:spacing w:val="-8"/>
          <w:sz w:val="32"/>
          <w:szCs w:val="32"/>
        </w:rPr>
        <w:t>安排学校自评自建工作时间，制定自评自建工作方案，落实工作任务，确保学校自评自建工作取得实效。自评自建工作方案应包括：</w:t>
      </w:r>
      <w:r>
        <w:rPr>
          <w:rFonts w:hint="eastAsia" w:ascii="方正仿宋_GBK" w:hAnsi="方正仿宋_GBK" w:eastAsia="方正仿宋_GBK" w:cs="方正仿宋_GBK"/>
          <w:spacing w:val="-10"/>
          <w:sz w:val="32"/>
          <w:szCs w:val="32"/>
        </w:rPr>
        <w:t>学校自评自建工作指导思想、工作目标、工作原则、组织机构、任务</w:t>
      </w:r>
      <w:r>
        <w:rPr>
          <w:rFonts w:hint="eastAsia" w:ascii="方正仿宋_GBK" w:hAnsi="方正仿宋_GBK" w:eastAsia="方正仿宋_GBK" w:cs="方正仿宋_GBK"/>
          <w:spacing w:val="-7"/>
          <w:sz w:val="32"/>
          <w:szCs w:val="32"/>
        </w:rPr>
        <w:t>分解、时间安排、工作要求等。</w:t>
      </w:r>
    </w:p>
    <w:p>
      <w:pPr>
        <w:pStyle w:val="6"/>
        <w:spacing w:line="560" w:lineRule="exact"/>
        <w:ind w:firstLine="608" w:firstLineChars="200"/>
        <w:rPr>
          <w:rFonts w:ascii="方正仿宋_GBK" w:hAnsi="方正仿宋_GBK" w:eastAsia="方正仿宋_GBK" w:cs="方正仿宋_GBK"/>
          <w:b w:val="0"/>
          <w:bCs w:val="0"/>
          <w:w w:val="95"/>
        </w:rPr>
      </w:pPr>
      <w:bookmarkStart w:id="11" w:name="_Toc124775233"/>
      <w:r>
        <w:rPr>
          <w:rFonts w:ascii="方正仿宋_GBK" w:hAnsi="方正仿宋_GBK" w:eastAsia="方正仿宋_GBK" w:cs="方正仿宋_GBK"/>
          <w:w w:val="95"/>
        </w:rPr>
        <w:t>3.4</w:t>
      </w:r>
      <w:r>
        <w:rPr>
          <w:rFonts w:hint="eastAsia" w:ascii="方正仿宋_GBK" w:hAnsi="方正仿宋_GBK" w:eastAsia="方正仿宋_GBK" w:cs="方正仿宋_GBK"/>
          <w:w w:val="95"/>
        </w:rPr>
        <w:t>全面开展校内自评</w:t>
      </w:r>
      <w:bookmarkEnd w:id="11"/>
    </w:p>
    <w:p>
      <w:pPr>
        <w:pStyle w:val="2"/>
        <w:spacing w:line="560" w:lineRule="exact"/>
        <w:ind w:firstLine="60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10"/>
          <w:sz w:val="32"/>
          <w:szCs w:val="32"/>
        </w:rPr>
        <w:t>围绕审核指标，聚焦每一个审核重点，组织院系、各有关职能部门逐项审核，开展校内自评。针对每一个二级指标，聚焦审核重点，</w:t>
      </w:r>
      <w:r>
        <w:rPr>
          <w:rFonts w:hint="eastAsia" w:ascii="方正仿宋_GBK" w:hAnsi="方正仿宋_GBK" w:eastAsia="方正仿宋_GBK" w:cs="方正仿宋_GBK"/>
          <w:spacing w:val="-12"/>
          <w:sz w:val="32"/>
          <w:szCs w:val="32"/>
        </w:rPr>
        <w:t>充分挖掘例证，认真审视学校在这方面的做法和现状，包括具体做了</w:t>
      </w:r>
      <w:r>
        <w:rPr>
          <w:rFonts w:hint="eastAsia" w:ascii="方正仿宋_GBK" w:hAnsi="方正仿宋_GBK" w:eastAsia="方正仿宋_GBK" w:cs="方正仿宋_GBK"/>
          <w:spacing w:val="-13"/>
          <w:sz w:val="32"/>
          <w:szCs w:val="32"/>
        </w:rPr>
        <w:t>什么工作，怎么做的，为什么要这样做，依据是什么，最终取得的效</w:t>
      </w:r>
      <w:r>
        <w:rPr>
          <w:rFonts w:hint="eastAsia" w:ascii="方正仿宋_GBK" w:hAnsi="方正仿宋_GBK" w:eastAsia="方正仿宋_GBK" w:cs="方正仿宋_GBK"/>
          <w:spacing w:val="-14"/>
          <w:sz w:val="32"/>
          <w:szCs w:val="32"/>
        </w:rPr>
        <w:t>果是什么，如何证明。亦即：系统总结一下在这方面所取得的教育教学改革与发展的经验和特色。审核重点是关于二级指标的引导性问题，</w:t>
      </w:r>
      <w:r>
        <w:rPr>
          <w:rFonts w:hint="eastAsia" w:ascii="方正仿宋_GBK" w:hAnsi="方正仿宋_GBK" w:eastAsia="方正仿宋_GBK" w:cs="方正仿宋_GBK"/>
          <w:spacing w:val="-13"/>
          <w:sz w:val="32"/>
          <w:szCs w:val="32"/>
        </w:rPr>
        <w:t>起提示性作用，但不是关于二级指标内涵的全部。在这些审核重点基础上，可结合学校定位和目标添加一些要素，但</w:t>
      </w:r>
      <w:r>
        <w:rPr>
          <w:rFonts w:hint="eastAsia" w:ascii="方正仿宋_GBK" w:hAnsi="方正仿宋_GBK" w:eastAsia="方正仿宋_GBK" w:cs="方正仿宋_GBK"/>
          <w:spacing w:val="-12"/>
          <w:sz w:val="32"/>
          <w:szCs w:val="32"/>
        </w:rPr>
        <w:t>添加要以有利</w:t>
      </w:r>
      <w:r>
        <w:rPr>
          <w:rFonts w:hint="eastAsia" w:ascii="方正仿宋_GBK" w:hAnsi="方正仿宋_GBK" w:eastAsia="方正仿宋_GBK" w:cs="方正仿宋_GBK"/>
          <w:spacing w:val="-11"/>
          <w:sz w:val="32"/>
          <w:szCs w:val="32"/>
        </w:rPr>
        <w:t>于对审核评估指标达标情况作出准确判断为原则。其次，审视学校在</w:t>
      </w:r>
      <w:r>
        <w:rPr>
          <w:rFonts w:hint="eastAsia" w:ascii="方正仿宋_GBK" w:hAnsi="方正仿宋_GBK" w:eastAsia="方正仿宋_GBK" w:cs="方正仿宋_GBK"/>
          <w:spacing w:val="-13"/>
          <w:sz w:val="32"/>
          <w:szCs w:val="32"/>
        </w:rPr>
        <w:t>这方面还存在哪些问题，为什么会产生这样的问题，原因是什么。最</w:t>
      </w:r>
      <w:r>
        <w:rPr>
          <w:rFonts w:hint="eastAsia" w:ascii="方正仿宋_GBK" w:hAnsi="方正仿宋_GBK" w:eastAsia="方正仿宋_GBK" w:cs="方正仿宋_GBK"/>
          <w:spacing w:val="-8"/>
          <w:sz w:val="32"/>
          <w:szCs w:val="32"/>
        </w:rPr>
        <w:t>后思考下一步应该如何整改，需要采取哪些举措。</w:t>
      </w:r>
    </w:p>
    <w:p>
      <w:pPr>
        <w:pStyle w:val="5"/>
        <w:spacing w:before="0" w:line="560" w:lineRule="exact"/>
        <w:ind w:firstLine="640" w:firstLineChars="200"/>
        <w:rPr>
          <w:rFonts w:ascii="方正仿宋_GBK" w:hAnsi="方正仿宋_GBK" w:eastAsia="方正仿宋_GBK" w:cs="方正仿宋_GBK"/>
        </w:rPr>
      </w:pPr>
      <w:bookmarkStart w:id="12" w:name="_Toc124775234"/>
      <w:r>
        <w:rPr>
          <w:rFonts w:ascii="方正仿宋_GBK" w:hAnsi="方正仿宋_GBK" w:eastAsia="方正仿宋_GBK" w:cs="方正仿宋_GBK"/>
        </w:rPr>
        <w:t>4.</w:t>
      </w:r>
      <w:r>
        <w:rPr>
          <w:rFonts w:hint="eastAsia" w:ascii="方正仿宋_GBK" w:hAnsi="方正仿宋_GBK" w:eastAsia="方正仿宋_GBK" w:cs="方正仿宋_GBK"/>
        </w:rPr>
        <w:t>认真撰写自评报告</w:t>
      </w:r>
      <w:bookmarkEnd w:id="12"/>
    </w:p>
    <w:p>
      <w:pPr>
        <w:pStyle w:val="6"/>
        <w:spacing w:line="560" w:lineRule="exact"/>
        <w:ind w:firstLine="608" w:firstLineChars="200"/>
        <w:rPr>
          <w:rFonts w:ascii="方正仿宋_GBK" w:hAnsi="方正仿宋_GBK" w:eastAsia="方正仿宋_GBK" w:cs="方正仿宋_GBK"/>
          <w:b w:val="0"/>
          <w:bCs w:val="0"/>
          <w:w w:val="95"/>
        </w:rPr>
      </w:pPr>
      <w:bookmarkStart w:id="13" w:name="_Toc124775235"/>
      <w:r>
        <w:rPr>
          <w:rFonts w:ascii="方正仿宋_GBK" w:hAnsi="方正仿宋_GBK" w:eastAsia="方正仿宋_GBK" w:cs="方正仿宋_GBK"/>
          <w:w w:val="95"/>
        </w:rPr>
        <w:t>4.1</w:t>
      </w:r>
      <w:r>
        <w:rPr>
          <w:rFonts w:hint="eastAsia" w:ascii="方正仿宋_GBK" w:hAnsi="方正仿宋_GBK" w:eastAsia="方正仿宋_GBK" w:cs="方正仿宋_GBK"/>
          <w:w w:val="95"/>
        </w:rPr>
        <w:t>《自评报告》的形成</w:t>
      </w:r>
      <w:bookmarkEnd w:id="13"/>
    </w:p>
    <w:p>
      <w:pPr>
        <w:pStyle w:val="2"/>
        <w:spacing w:line="560" w:lineRule="exact"/>
        <w:ind w:firstLine="608"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8"/>
          <w:sz w:val="32"/>
          <w:szCs w:val="32"/>
        </w:rPr>
        <w:t>《自评报告》是审核评估的重要材料之一。《自评报告》撰写的</w:t>
      </w:r>
      <w:r>
        <w:rPr>
          <w:rFonts w:hint="eastAsia" w:ascii="方正仿宋_GBK" w:hAnsi="方正仿宋_GBK" w:eastAsia="方正仿宋_GBK" w:cs="方正仿宋_GBK"/>
          <w:spacing w:val="-9"/>
          <w:sz w:val="32"/>
          <w:szCs w:val="32"/>
        </w:rPr>
        <w:t>质量不仅反映参评学校教育教学工作的客观状态，同时，也反映参评</w:t>
      </w:r>
      <w:r>
        <w:rPr>
          <w:rFonts w:hint="eastAsia" w:ascii="方正仿宋_GBK" w:hAnsi="方正仿宋_GBK" w:eastAsia="方正仿宋_GBK" w:cs="方正仿宋_GBK"/>
          <w:spacing w:val="-12"/>
          <w:sz w:val="32"/>
          <w:szCs w:val="32"/>
        </w:rPr>
        <w:t>学校对审核评估的态度与重视程度，还可以看出学校能否客观清醒地</w:t>
      </w:r>
      <w:r>
        <w:rPr>
          <w:rFonts w:hint="eastAsia" w:ascii="方正仿宋_GBK" w:hAnsi="方正仿宋_GBK" w:eastAsia="方正仿宋_GBK" w:cs="方正仿宋_GBK"/>
          <w:spacing w:val="-22"/>
          <w:sz w:val="32"/>
          <w:szCs w:val="32"/>
        </w:rPr>
        <w:t>认识自己，是否具有驾驭和反思自身发展的自省能力和水平。同时《自</w:t>
      </w:r>
      <w:r>
        <w:rPr>
          <w:rFonts w:hint="eastAsia" w:ascii="方正仿宋_GBK" w:hAnsi="方正仿宋_GBK" w:eastAsia="方正仿宋_GBK" w:cs="方正仿宋_GBK"/>
          <w:spacing w:val="-14"/>
          <w:sz w:val="32"/>
          <w:szCs w:val="32"/>
        </w:rPr>
        <w:t>评报告》也是评估专家对学校本科教育教学工作开展审核评估的主要</w:t>
      </w:r>
      <w:r>
        <w:rPr>
          <w:rFonts w:hint="eastAsia" w:ascii="方正仿宋_GBK" w:hAnsi="方正仿宋_GBK" w:eastAsia="方正仿宋_GBK" w:cs="方正仿宋_GBK"/>
          <w:spacing w:val="-20"/>
          <w:sz w:val="32"/>
          <w:szCs w:val="32"/>
        </w:rPr>
        <w:t>依据之一。评估专家通过认真研读《自评报告》，形成对学校教育教</w:t>
      </w:r>
      <w:r>
        <w:rPr>
          <w:rFonts w:hint="eastAsia" w:ascii="方正仿宋_GBK" w:hAnsi="方正仿宋_GBK" w:eastAsia="方正仿宋_GBK" w:cs="方正仿宋_GBK"/>
          <w:spacing w:val="-13"/>
          <w:sz w:val="32"/>
          <w:szCs w:val="32"/>
        </w:rPr>
        <w:t>学情况的总体印象，在入校评估的过程中去验证通过《自评报告》等</w:t>
      </w:r>
      <w:r>
        <w:rPr>
          <w:rFonts w:hint="eastAsia" w:ascii="方正仿宋_GBK" w:hAnsi="方正仿宋_GBK" w:eastAsia="方正仿宋_GBK" w:cs="方正仿宋_GBK"/>
          <w:spacing w:val="-17"/>
          <w:sz w:val="32"/>
          <w:szCs w:val="32"/>
        </w:rPr>
        <w:t>材料获得的判断与评价，最终形成审核评估报告。因此</w:t>
      </w:r>
      <w:r>
        <w:rPr>
          <w:rFonts w:hint="eastAsia" w:ascii="方正仿宋_GBK" w:hAnsi="方正仿宋_GBK" w:eastAsia="方正仿宋_GBK" w:cs="方正仿宋_GBK"/>
          <w:spacing w:val="-33"/>
          <w:sz w:val="32"/>
          <w:szCs w:val="32"/>
        </w:rPr>
        <w:t>，《自评报告》</w:t>
      </w:r>
      <w:r>
        <w:rPr>
          <w:rFonts w:hint="eastAsia" w:ascii="方正仿宋_GBK" w:hAnsi="方正仿宋_GBK" w:eastAsia="方正仿宋_GBK" w:cs="方正仿宋_GBK"/>
          <w:spacing w:val="-16"/>
          <w:sz w:val="32"/>
          <w:szCs w:val="32"/>
        </w:rPr>
        <w:t>的撰写是建立在学校全面自评自建工作的基础上，紧紧聚焦审核评估</w:t>
      </w:r>
      <w:r>
        <w:rPr>
          <w:rFonts w:hint="eastAsia" w:ascii="方正仿宋_GBK" w:hAnsi="方正仿宋_GBK" w:eastAsia="方正仿宋_GBK" w:cs="方正仿宋_GBK"/>
          <w:spacing w:val="-13"/>
          <w:sz w:val="32"/>
          <w:szCs w:val="32"/>
        </w:rPr>
        <w:t>指标，对学校本科人才培养的目标定位、改革建设和培养成效进行全</w:t>
      </w:r>
      <w:r>
        <w:rPr>
          <w:rFonts w:hint="eastAsia" w:ascii="方正仿宋_GBK" w:hAnsi="方正仿宋_GBK" w:eastAsia="方正仿宋_GBK" w:cs="方正仿宋_GBK"/>
          <w:spacing w:val="-20"/>
          <w:sz w:val="32"/>
          <w:szCs w:val="32"/>
        </w:rPr>
        <w:t>面梳理，由此形成反映自评结果的写实性报告。《自评报告》内容应</w:t>
      </w:r>
      <w:r>
        <w:rPr>
          <w:rFonts w:hint="eastAsia" w:ascii="方正仿宋_GBK" w:hAnsi="方正仿宋_GBK" w:eastAsia="方正仿宋_GBK" w:cs="方正仿宋_GBK"/>
          <w:spacing w:val="-15"/>
          <w:sz w:val="32"/>
          <w:szCs w:val="32"/>
        </w:rPr>
        <w:t>通过院系、相关职能部门和直附属单位自评提供的详实数据、事实等</w:t>
      </w:r>
      <w:r>
        <w:rPr>
          <w:rFonts w:hint="eastAsia" w:ascii="方正仿宋_GBK" w:hAnsi="方正仿宋_GBK" w:eastAsia="方正仿宋_GBK" w:cs="方正仿宋_GBK"/>
          <w:spacing w:val="-19"/>
          <w:sz w:val="32"/>
          <w:szCs w:val="32"/>
        </w:rPr>
        <w:t>来表述和支撑。在自评报告的形成过程中，应广泛征求各方面的意见，</w:t>
      </w:r>
      <w:r>
        <w:rPr>
          <w:rFonts w:hint="eastAsia" w:ascii="方正仿宋_GBK" w:hAnsi="方正仿宋_GBK" w:eastAsia="方正仿宋_GBK" w:cs="方正仿宋_GBK"/>
          <w:spacing w:val="-8"/>
          <w:sz w:val="32"/>
          <w:szCs w:val="32"/>
        </w:rPr>
        <w:t>以使自评报告被学校广大师生员工广泛认可。</w:t>
      </w:r>
    </w:p>
    <w:p>
      <w:pPr>
        <w:pStyle w:val="6"/>
        <w:spacing w:line="560" w:lineRule="exact"/>
        <w:ind w:firstLine="608" w:firstLineChars="200"/>
        <w:rPr>
          <w:rFonts w:ascii="方正仿宋_GBK" w:hAnsi="方正仿宋_GBK" w:eastAsia="方正仿宋_GBK" w:cs="方正仿宋_GBK"/>
          <w:b w:val="0"/>
          <w:bCs w:val="0"/>
        </w:rPr>
      </w:pPr>
      <w:bookmarkStart w:id="14" w:name="_Toc124775236"/>
      <w:r>
        <w:rPr>
          <w:rFonts w:ascii="方正仿宋_GBK" w:hAnsi="方正仿宋_GBK" w:eastAsia="方正仿宋_GBK" w:cs="方正仿宋_GBK"/>
          <w:w w:val="95"/>
        </w:rPr>
        <w:t>4.2</w:t>
      </w:r>
      <w:r>
        <w:rPr>
          <w:rFonts w:hint="eastAsia" w:ascii="方正仿宋_GBK" w:hAnsi="方正仿宋_GBK" w:eastAsia="方正仿宋_GBK" w:cs="方正仿宋_GBK"/>
          <w:w w:val="95"/>
        </w:rPr>
        <w:t>《自评报告》的撰写要求</w:t>
      </w:r>
      <w:bookmarkEnd w:id="14"/>
    </w:p>
    <w:p>
      <w:pPr>
        <w:pStyle w:val="2"/>
        <w:spacing w:line="560" w:lineRule="exact"/>
        <w:ind w:firstLine="596"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11"/>
          <w:sz w:val="32"/>
          <w:szCs w:val="32"/>
        </w:rPr>
        <w:t>《自评报告》要依据高校自选的、个性化的《普通高等学校本科教育教学审核评估指标体系》的要求，围绕一级和二级指标及其审核重点，</w:t>
      </w:r>
      <w:r>
        <w:rPr>
          <w:rFonts w:hint="eastAsia" w:ascii="方正仿宋_GBK" w:hAnsi="方正仿宋_GBK" w:eastAsia="方正仿宋_GBK" w:cs="方正仿宋_GBK"/>
          <w:spacing w:val="-17"/>
          <w:sz w:val="32"/>
          <w:szCs w:val="32"/>
        </w:rPr>
        <w:t>聚焦落实立德树人根本任务，分别阐述学校是</w:t>
      </w:r>
      <w:r>
        <w:rPr>
          <w:rFonts w:hint="eastAsia" w:ascii="方正仿宋_GBK" w:hAnsi="方正仿宋_GBK" w:eastAsia="方正仿宋_GBK" w:cs="方正仿宋_GBK"/>
          <w:sz w:val="32"/>
          <w:szCs w:val="32"/>
        </w:rPr>
        <w:t>“怎么说的”“怎么做的”（工作举措）、“做得怎么样”（取得的效果）、“做的不好的如何改进”和</w:t>
      </w:r>
      <w:r>
        <w:rPr>
          <w:rFonts w:hint="eastAsia" w:ascii="方正仿宋_GBK" w:hAnsi="方正仿宋_GBK" w:eastAsia="方正仿宋_GBK" w:cs="方正仿宋_GBK"/>
          <w:spacing w:val="-19"/>
          <w:sz w:val="32"/>
          <w:szCs w:val="32"/>
        </w:rPr>
        <w:t>“改进效果如何”等。高校撰写自评报告时，不得修改一级、</w:t>
      </w:r>
      <w:r>
        <w:rPr>
          <w:rFonts w:hint="eastAsia" w:ascii="方正仿宋_GBK" w:hAnsi="方正仿宋_GBK" w:eastAsia="方正仿宋_GBK" w:cs="方正仿宋_GBK"/>
          <w:spacing w:val="-15"/>
          <w:sz w:val="32"/>
          <w:szCs w:val="32"/>
        </w:rPr>
        <w:t>二级标题，指标不能少，重点不能丢，同时，还要避免包含与审核评</w:t>
      </w:r>
      <w:r>
        <w:rPr>
          <w:rFonts w:hint="eastAsia" w:ascii="方正仿宋_GBK" w:hAnsi="方正仿宋_GBK" w:eastAsia="方正仿宋_GBK" w:cs="方正仿宋_GBK"/>
          <w:spacing w:val="-8"/>
          <w:sz w:val="32"/>
          <w:szCs w:val="32"/>
        </w:rPr>
        <w:t>估指标体系无关的内容。</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自评报告》要突出重点，突出学校先进的教育教学理念，突出办学和人才培养特色，突出落实立德树人根本任务所采取的思路、举措、经验和取得的成效。第二类审核评估的高校要重点回答学校办学方向、培养过程、教学资源、教师队伍、学生发展、质量保障和教学成效等方面的思路、举措、经验和取得的成效，以及学校人才培养目标的达成度、社会需求的适应度、师资和条件的保障度、质量保障运行的有效度、学生和用人单位的满意度。</w:t>
      </w:r>
    </w:p>
    <w:p>
      <w:pPr>
        <w:pStyle w:val="2"/>
        <w:spacing w:line="560" w:lineRule="exact"/>
        <w:ind w:firstLine="596" w:firstLineChars="200"/>
        <w:jc w:val="both"/>
        <w:rPr>
          <w:rFonts w:ascii="方正仿宋_GBK" w:hAnsi="方正仿宋_GBK" w:eastAsia="方正仿宋_GBK" w:cs="方正仿宋_GBK"/>
          <w:spacing w:val="-140"/>
          <w:sz w:val="32"/>
          <w:szCs w:val="32"/>
        </w:rPr>
      </w:pPr>
      <w:r>
        <w:rPr>
          <w:rFonts w:hint="eastAsia" w:ascii="方正仿宋_GBK" w:hAnsi="方正仿宋_GBK" w:eastAsia="方正仿宋_GBK" w:cs="方正仿宋_GBK"/>
          <w:spacing w:val="-11"/>
          <w:sz w:val="32"/>
          <w:szCs w:val="32"/>
        </w:rPr>
        <w:t>《自评报告》文字描述应简练准确，图表清晰详实，存在问题找准写透，原因分析深入透彻，提出的改进措施具体可行，避免空话、</w:t>
      </w:r>
      <w:r>
        <w:rPr>
          <w:rFonts w:hint="eastAsia" w:ascii="方正仿宋_GBK" w:hAnsi="方正仿宋_GBK" w:eastAsia="方正仿宋_GBK" w:cs="方正仿宋_GBK"/>
          <w:spacing w:val="-15"/>
          <w:sz w:val="32"/>
          <w:szCs w:val="32"/>
        </w:rPr>
        <w:t>大话和套话。《自评报告》主要内容包括学校简介、学校自评工作开</w:t>
      </w:r>
      <w:r>
        <w:rPr>
          <w:rFonts w:hint="eastAsia" w:ascii="方正仿宋_GBK" w:hAnsi="方正仿宋_GBK" w:eastAsia="方正仿宋_GBK" w:cs="方正仿宋_GBK"/>
          <w:spacing w:val="-13"/>
          <w:sz w:val="32"/>
          <w:szCs w:val="32"/>
        </w:rPr>
        <w:t>展情况、学校自评结果三部分。具体内容表述按照二级指标展开，须</w:t>
      </w:r>
      <w:r>
        <w:rPr>
          <w:rFonts w:hint="eastAsia" w:ascii="方正仿宋_GBK" w:hAnsi="方正仿宋_GBK" w:eastAsia="方正仿宋_GBK" w:cs="方正仿宋_GBK"/>
          <w:spacing w:val="2"/>
          <w:sz w:val="32"/>
          <w:szCs w:val="32"/>
        </w:rPr>
        <w:t>涵</w:t>
      </w:r>
      <w:r>
        <w:rPr>
          <w:rFonts w:hint="eastAsia" w:ascii="方正仿宋_GBK" w:hAnsi="方正仿宋_GBK" w:eastAsia="方正仿宋_GBK" w:cs="方正仿宋_GBK"/>
          <w:spacing w:val="-9"/>
          <w:sz w:val="32"/>
          <w:szCs w:val="32"/>
        </w:rPr>
        <w:t>盖但不限于二级指标下设的审核重点；“存在的问题及原因分析”</w:t>
      </w:r>
      <w:r>
        <w:rPr>
          <w:rFonts w:hint="eastAsia" w:ascii="方正仿宋_GBK" w:hAnsi="方正仿宋_GBK" w:eastAsia="方正仿宋_GBK" w:cs="方正仿宋_GBK"/>
          <w:sz w:val="32"/>
          <w:szCs w:val="32"/>
        </w:rPr>
        <w:t>对</w:t>
      </w:r>
      <w:r>
        <w:rPr>
          <w:rFonts w:hint="eastAsia" w:ascii="方正仿宋_GBK" w:hAnsi="方正仿宋_GBK" w:eastAsia="方正仿宋_GBK" w:cs="方正仿宋_GBK"/>
          <w:spacing w:val="-12"/>
          <w:sz w:val="32"/>
          <w:szCs w:val="32"/>
        </w:rPr>
        <w:t>应一级指标来写，问题具体表现描述对应二级指标和审核重点。《自评报告》字数不超过</w:t>
      </w:r>
      <w:r>
        <w:rPr>
          <w:rFonts w:ascii="方正仿宋_GBK" w:hAnsi="方正仿宋_GBK" w:eastAsia="方正仿宋_GBK" w:cs="方正仿宋_GBK"/>
          <w:sz w:val="32"/>
          <w:szCs w:val="32"/>
        </w:rPr>
        <w:t>4</w:t>
      </w:r>
      <w:r>
        <w:rPr>
          <w:rFonts w:hint="eastAsia" w:ascii="方正仿宋_GBK" w:hAnsi="方正仿宋_GBK" w:eastAsia="方正仿宋_GBK" w:cs="方正仿宋_GBK"/>
          <w:spacing w:val="-15"/>
          <w:sz w:val="32"/>
          <w:szCs w:val="32"/>
        </w:rPr>
        <w:t>万字</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pacing w:val="-11"/>
          <w:sz w:val="32"/>
          <w:szCs w:val="32"/>
        </w:rPr>
        <w:t>其中“存在的问题、原因分析”以及“改进措施”不少于自评结果部分的三</w:t>
      </w:r>
      <w:r>
        <w:rPr>
          <w:rFonts w:hint="eastAsia" w:ascii="方正仿宋_GBK" w:hAnsi="方正仿宋_GBK" w:eastAsia="方正仿宋_GBK" w:cs="方正仿宋_GBK"/>
          <w:spacing w:val="-14"/>
          <w:sz w:val="32"/>
          <w:szCs w:val="32"/>
        </w:rPr>
        <w:t>分之一。具体要求详见《自评报告撰写指导》</w:t>
      </w:r>
      <w:r>
        <w:rPr>
          <w:rFonts w:hint="eastAsia" w:ascii="方正仿宋_GBK" w:hAnsi="方正仿宋_GBK" w:eastAsia="方正仿宋_GBK" w:cs="方正仿宋_GBK"/>
          <w:sz w:val="32"/>
          <w:szCs w:val="32"/>
        </w:rPr>
        <w:t>（附件</w:t>
      </w:r>
      <w:r>
        <w:rPr>
          <w:rFonts w:ascii="方正仿宋_GBK" w:hAnsi="方正仿宋_GBK" w:eastAsia="方正仿宋_GBK" w:cs="方正仿宋_GBK"/>
          <w:sz w:val="32"/>
          <w:szCs w:val="32"/>
        </w:rPr>
        <w:t>3</w:t>
      </w:r>
      <w:r>
        <w:rPr>
          <w:rFonts w:hint="eastAsia" w:ascii="方正仿宋_GBK" w:hAnsi="方正仿宋_GBK" w:eastAsia="方正仿宋_GBK" w:cs="方正仿宋_GBK"/>
          <w:sz w:val="32"/>
          <w:szCs w:val="32"/>
        </w:rPr>
        <w:t>）。</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评估通知发布会，学校可根据自评工作情况，提请省教育高教处协助成立包括</w:t>
      </w:r>
      <w:r>
        <w:rPr>
          <w:rFonts w:ascii="方正仿宋_GBK" w:hAnsi="方正仿宋_GBK" w:eastAsia="方正仿宋_GBK" w:cs="方正仿宋_GBK"/>
          <w:sz w:val="32"/>
          <w:szCs w:val="32"/>
        </w:rPr>
        <w:t>2-3</w:t>
      </w:r>
      <w:r>
        <w:rPr>
          <w:rFonts w:hint="eastAsia" w:ascii="方正仿宋_GBK" w:hAnsi="方正仿宋_GBK" w:eastAsia="方正仿宋_GBK" w:cs="方正仿宋_GBK"/>
          <w:sz w:val="32"/>
          <w:szCs w:val="32"/>
        </w:rPr>
        <w:t>位专家的自评工作指导小组，帮助学校不断改进自评工作。自评工作指导小组在线上评估前，适需对学校评建工作跟进指导，包括并不限于听取汇报、给出评建建议、查看自评情况准备情况等。</w:t>
      </w:r>
    </w:p>
    <w:p>
      <w:pPr>
        <w:pStyle w:val="6"/>
        <w:spacing w:line="560" w:lineRule="exact"/>
        <w:ind w:firstLine="608" w:firstLineChars="200"/>
        <w:rPr>
          <w:rFonts w:ascii="方正仿宋_GBK" w:hAnsi="方正仿宋_GBK" w:eastAsia="方正仿宋_GBK" w:cs="方正仿宋_GBK"/>
          <w:b w:val="0"/>
          <w:bCs w:val="0"/>
          <w:w w:val="95"/>
        </w:rPr>
      </w:pPr>
      <w:bookmarkStart w:id="15" w:name="_Toc124775237"/>
      <w:r>
        <w:rPr>
          <w:rFonts w:ascii="方正仿宋_GBK" w:hAnsi="方正仿宋_GBK" w:eastAsia="方正仿宋_GBK" w:cs="方正仿宋_GBK"/>
          <w:w w:val="95"/>
        </w:rPr>
        <w:t>4.3</w:t>
      </w:r>
      <w:r>
        <w:rPr>
          <w:rFonts w:hint="eastAsia" w:ascii="方正仿宋_GBK" w:hAnsi="方正仿宋_GBK" w:eastAsia="方正仿宋_GBK" w:cs="方正仿宋_GBK"/>
          <w:w w:val="95"/>
        </w:rPr>
        <w:t>《自评报告》的支撑材料</w:t>
      </w:r>
      <w:bookmarkEnd w:id="15"/>
    </w:p>
    <w:p>
      <w:pPr>
        <w:pStyle w:val="2"/>
        <w:spacing w:line="560" w:lineRule="exact"/>
        <w:ind w:firstLine="608" w:firstLineChars="200"/>
        <w:jc w:val="both"/>
        <w:rPr>
          <w:rFonts w:ascii="方正仿宋_GBK" w:hAnsi="方正仿宋_GBK" w:eastAsia="方正仿宋_GBK" w:cs="方正仿宋_GBK"/>
          <w:spacing w:val="-19"/>
          <w:sz w:val="32"/>
          <w:szCs w:val="32"/>
        </w:rPr>
      </w:pPr>
      <w:r>
        <w:rPr>
          <w:rFonts w:hint="eastAsia" w:ascii="方正仿宋_GBK" w:hAnsi="方正仿宋_GBK" w:eastAsia="方正仿宋_GBK" w:cs="方正仿宋_GBK"/>
          <w:spacing w:val="-8"/>
          <w:sz w:val="32"/>
          <w:szCs w:val="32"/>
        </w:rPr>
        <w:t>学校须按照审核评估指标体系提供支撑《自评报告》撰写内容的</w:t>
      </w:r>
      <w:r>
        <w:rPr>
          <w:rFonts w:hint="eastAsia" w:ascii="方正仿宋_GBK" w:hAnsi="方正仿宋_GBK" w:eastAsia="方正仿宋_GBK" w:cs="方正仿宋_GBK"/>
          <w:spacing w:val="-12"/>
          <w:sz w:val="32"/>
          <w:szCs w:val="32"/>
        </w:rPr>
        <w:t>相关材料，包括：管理文件、教学资料、各类记录性材料、合作协议及其它佐证材料等。学校提供的支撑材料应真实可信，其总目录或索引附在《自评报告》后，并在报告中的二级审核指标后面分别列出相关支撑材料索引，便于专家审读《自评报告》时查阅。支撑材料原文</w:t>
      </w:r>
      <w:r>
        <w:rPr>
          <w:rFonts w:hint="eastAsia" w:ascii="方正仿宋_GBK" w:hAnsi="方正仿宋_GBK" w:eastAsia="方正仿宋_GBK" w:cs="方正仿宋_GBK"/>
          <w:spacing w:val="-11"/>
          <w:sz w:val="32"/>
          <w:szCs w:val="32"/>
        </w:rPr>
        <w:t>电子版应提交到全国普通高等学校本科教育教学评估系统（以下简称评估系统）中，对于难以</w:t>
      </w:r>
      <w:r>
        <w:rPr>
          <w:rFonts w:hint="eastAsia" w:ascii="方正仿宋_GBK" w:hAnsi="方正仿宋_GBK" w:eastAsia="方正仿宋_GBK" w:cs="方正仿宋_GBK"/>
          <w:spacing w:val="-3"/>
          <w:sz w:val="32"/>
          <w:szCs w:val="32"/>
        </w:rPr>
        <w:t>（</w:t>
      </w:r>
      <w:r>
        <w:rPr>
          <w:rFonts w:hint="eastAsia" w:ascii="方正仿宋_GBK" w:hAnsi="方正仿宋_GBK" w:eastAsia="方正仿宋_GBK" w:cs="方正仿宋_GBK"/>
          <w:spacing w:val="-1"/>
          <w:sz w:val="32"/>
          <w:szCs w:val="32"/>
        </w:rPr>
        <w:t>或不便</w:t>
      </w:r>
      <w:r>
        <w:rPr>
          <w:rFonts w:hint="eastAsia" w:ascii="方正仿宋_GBK" w:hAnsi="方正仿宋_GBK" w:eastAsia="方正仿宋_GBK" w:cs="方正仿宋_GBK"/>
          <w:spacing w:val="-34"/>
          <w:sz w:val="32"/>
          <w:szCs w:val="32"/>
        </w:rPr>
        <w:t>）</w:t>
      </w:r>
      <w:r>
        <w:rPr>
          <w:rFonts w:hint="eastAsia" w:ascii="方正仿宋_GBK" w:hAnsi="方正仿宋_GBK" w:eastAsia="方正仿宋_GBK" w:cs="方正仿宋_GBK"/>
          <w:spacing w:val="-1"/>
          <w:sz w:val="32"/>
          <w:szCs w:val="32"/>
        </w:rPr>
        <w:t>提交到评估</w:t>
      </w:r>
      <w:r>
        <w:rPr>
          <w:rFonts w:hint="eastAsia" w:ascii="方正仿宋_GBK" w:hAnsi="方正仿宋_GBK" w:eastAsia="方正仿宋_GBK" w:cs="方正仿宋_GBK"/>
          <w:spacing w:val="-19"/>
          <w:sz w:val="32"/>
          <w:szCs w:val="32"/>
        </w:rPr>
        <w:t>系统的原始支撑材料，应分类归档保存，以便专家现场考察时查阅。</w:t>
      </w:r>
    </w:p>
    <w:p>
      <w:pPr>
        <w:pStyle w:val="6"/>
        <w:spacing w:line="560" w:lineRule="exact"/>
        <w:ind w:firstLine="608" w:firstLineChars="200"/>
        <w:rPr>
          <w:rFonts w:ascii="方正仿宋_GBK" w:hAnsi="方正仿宋_GBK" w:eastAsia="方正仿宋_GBK" w:cs="方正仿宋_GBK"/>
          <w:b w:val="0"/>
          <w:bCs w:val="0"/>
          <w:w w:val="95"/>
        </w:rPr>
      </w:pPr>
      <w:bookmarkStart w:id="16" w:name="_Toc124775238"/>
      <w:r>
        <w:rPr>
          <w:rFonts w:ascii="方正仿宋_GBK" w:hAnsi="方正仿宋_GBK" w:eastAsia="方正仿宋_GBK" w:cs="方正仿宋_GBK"/>
          <w:w w:val="95"/>
        </w:rPr>
        <w:t>4.4</w:t>
      </w:r>
      <w:r>
        <w:rPr>
          <w:rFonts w:hint="eastAsia" w:ascii="方正仿宋_GBK" w:hAnsi="方正仿宋_GBK" w:eastAsia="方正仿宋_GBK" w:cs="方正仿宋_GBK"/>
          <w:w w:val="95"/>
        </w:rPr>
        <w:t>材料递交与审核</w:t>
      </w:r>
      <w:bookmarkEnd w:id="16"/>
    </w:p>
    <w:p>
      <w:pPr>
        <w:pStyle w:val="2"/>
        <w:spacing w:line="560" w:lineRule="exact"/>
        <w:ind w:firstLine="640" w:firstLineChars="200"/>
        <w:jc w:val="both"/>
        <w:rPr>
          <w:rFonts w:ascii="方正仿宋_GBK" w:hAnsi="方正仿宋_GBK" w:eastAsia="方正仿宋_GBK" w:cs="方正仿宋_GBK"/>
          <w:spacing w:val="-19"/>
          <w:sz w:val="32"/>
          <w:szCs w:val="32"/>
        </w:rPr>
      </w:pPr>
      <w:r>
        <w:rPr>
          <w:rFonts w:hint="eastAsia" w:ascii="方正仿宋_GBK" w:hAnsi="方正仿宋_GBK" w:eastAsia="方正仿宋_GBK" w:cs="方正仿宋_GBK"/>
          <w:sz w:val="32"/>
          <w:szCs w:val="32"/>
        </w:rPr>
        <w:t>入校评估前第</w:t>
      </w:r>
      <w:r>
        <w:rPr>
          <w:rFonts w:ascii="方正仿宋_GBK" w:hAnsi="方正仿宋_GBK" w:eastAsia="方正仿宋_GBK" w:cs="方正仿宋_GBK"/>
          <w:sz w:val="32"/>
          <w:szCs w:val="32"/>
        </w:rPr>
        <w:t>6</w:t>
      </w:r>
      <w:r>
        <w:rPr>
          <w:rFonts w:hint="eastAsia" w:ascii="方正仿宋_GBK" w:hAnsi="方正仿宋_GBK" w:eastAsia="方正仿宋_GBK" w:cs="方正仿宋_GBK"/>
          <w:sz w:val="32"/>
          <w:szCs w:val="32"/>
        </w:rPr>
        <w:t>周，学校《自评报告》《本科教学状态数据分析报告》须在校内公示至少一周。公示结束后，学校将《自评报告》《本科教学状态数据分析报告》《关于安徽省普通高等学校本科教育教学审核评估工作的承诺书》和近</w:t>
      </w:r>
      <w:r>
        <w:rPr>
          <w:rFonts w:ascii="方正仿宋_GBK" w:hAnsi="方正仿宋_GBK" w:eastAsia="方正仿宋_GBK" w:cs="方正仿宋_GBK"/>
          <w:sz w:val="32"/>
          <w:szCs w:val="32"/>
        </w:rPr>
        <w:t>3</w:t>
      </w:r>
      <w:r>
        <w:rPr>
          <w:rFonts w:hint="eastAsia" w:ascii="方正仿宋_GBK" w:hAnsi="方正仿宋_GBK" w:eastAsia="方正仿宋_GBK" w:cs="方正仿宋_GBK"/>
          <w:sz w:val="32"/>
          <w:szCs w:val="32"/>
        </w:rPr>
        <w:t>年《本科教学质量年度报告》一并提交给教育部教育质量评估中心或省教育厅。在通过省教育厅的形式审查后，学校在评估系统中提交自评材料。</w:t>
      </w:r>
    </w:p>
    <w:p>
      <w:pPr>
        <w:pStyle w:val="5"/>
        <w:spacing w:before="0" w:line="560" w:lineRule="exact"/>
        <w:ind w:firstLine="640" w:firstLineChars="200"/>
        <w:rPr>
          <w:rFonts w:ascii="方正仿宋_GBK" w:hAnsi="方正仿宋_GBK" w:eastAsia="方正仿宋_GBK" w:cs="方正仿宋_GBK"/>
        </w:rPr>
      </w:pPr>
      <w:bookmarkStart w:id="17" w:name="_Toc124775239"/>
      <w:r>
        <w:rPr>
          <w:rFonts w:ascii="方正仿宋_GBK" w:hAnsi="方正仿宋_GBK" w:eastAsia="方正仿宋_GBK" w:cs="方正仿宋_GBK"/>
        </w:rPr>
        <w:t>5.</w:t>
      </w:r>
      <w:r>
        <w:rPr>
          <w:rFonts w:hint="eastAsia" w:ascii="方正仿宋_GBK" w:hAnsi="方正仿宋_GBK" w:eastAsia="方正仿宋_GBK" w:cs="方正仿宋_GBK"/>
        </w:rPr>
        <w:t>如实准确填报教育教学基本状态数据</w:t>
      </w:r>
      <w:bookmarkEnd w:id="17"/>
    </w:p>
    <w:p>
      <w:pPr>
        <w:pStyle w:val="6"/>
        <w:spacing w:line="560" w:lineRule="exact"/>
        <w:ind w:firstLine="608" w:firstLineChars="200"/>
        <w:rPr>
          <w:rFonts w:ascii="方正仿宋_GBK" w:hAnsi="方正仿宋_GBK" w:eastAsia="方正仿宋_GBK" w:cs="方正仿宋_GBK"/>
          <w:b w:val="0"/>
          <w:bCs w:val="0"/>
          <w:w w:val="95"/>
        </w:rPr>
      </w:pPr>
      <w:bookmarkStart w:id="18" w:name="_Toc124775240"/>
      <w:r>
        <w:rPr>
          <w:rFonts w:ascii="方正仿宋_GBK" w:hAnsi="方正仿宋_GBK" w:eastAsia="方正仿宋_GBK" w:cs="方正仿宋_GBK"/>
          <w:w w:val="95"/>
        </w:rPr>
        <w:t>5.1</w:t>
      </w:r>
      <w:r>
        <w:rPr>
          <w:rFonts w:hint="eastAsia" w:ascii="方正仿宋_GBK" w:hAnsi="方正仿宋_GBK" w:eastAsia="方正仿宋_GBK" w:cs="方正仿宋_GBK"/>
          <w:w w:val="95"/>
        </w:rPr>
        <w:t>高等教育质量监测国家数据平台</w:t>
      </w:r>
      <w:bookmarkEnd w:id="18"/>
    </w:p>
    <w:p>
      <w:pPr>
        <w:pStyle w:val="2"/>
        <w:spacing w:line="560" w:lineRule="exact"/>
        <w:ind w:firstLine="628"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3"/>
          <w:sz w:val="32"/>
          <w:szCs w:val="32"/>
        </w:rPr>
        <w:t>“高等教育质量监测国家数据平台</w:t>
      </w:r>
      <w:r>
        <w:rPr>
          <w:rFonts w:hint="eastAsia" w:ascii="方正仿宋_GBK" w:hAnsi="方正仿宋_GBK" w:eastAsia="方正仿宋_GBK" w:cs="方正仿宋_GBK"/>
          <w:spacing w:val="-171"/>
          <w:sz w:val="32"/>
          <w:szCs w:val="32"/>
        </w:rPr>
        <w:t>”</w:t>
      </w:r>
      <w:r>
        <w:rPr>
          <w:rFonts w:hint="eastAsia" w:ascii="方正仿宋_GBK" w:hAnsi="方正仿宋_GBK" w:eastAsia="方正仿宋_GBK" w:cs="方正仿宋_GBK"/>
          <w:spacing w:val="-3"/>
          <w:sz w:val="32"/>
          <w:szCs w:val="32"/>
        </w:rPr>
        <w:t>（</w:t>
      </w:r>
      <w:r>
        <w:rPr>
          <w:rFonts w:hint="eastAsia" w:ascii="方正仿宋_GBK" w:hAnsi="方正仿宋_GBK" w:eastAsia="方正仿宋_GBK" w:cs="方正仿宋_GBK"/>
          <w:spacing w:val="-21"/>
          <w:sz w:val="32"/>
          <w:szCs w:val="32"/>
        </w:rPr>
        <w:t>简称“国家数据平台”</w:t>
      </w:r>
      <w:r>
        <w:rPr>
          <w:rFonts w:hint="eastAsia" w:ascii="方正仿宋_GBK" w:hAnsi="方正仿宋_GBK" w:eastAsia="方正仿宋_GBK" w:cs="方正仿宋_GBK"/>
          <w:spacing w:val="-34"/>
          <w:sz w:val="32"/>
          <w:szCs w:val="32"/>
        </w:rPr>
        <w:t>）</w:t>
      </w:r>
      <w:r>
        <w:rPr>
          <w:rFonts w:hint="eastAsia" w:ascii="方正仿宋_GBK" w:hAnsi="方正仿宋_GBK" w:eastAsia="方正仿宋_GBK" w:cs="方正仿宋_GBK"/>
          <w:sz w:val="32"/>
          <w:szCs w:val="32"/>
        </w:rPr>
        <w:t>是按照教育部要求，为建立本科教育教学工作及其质量常态监控机制，利用信息技术，采集反映学校教育教学基本状态数据的数据库系统。</w:t>
      </w:r>
      <w:r>
        <w:rPr>
          <w:rFonts w:hint="eastAsia" w:ascii="方正仿宋_GBK" w:hAnsi="方正仿宋_GBK" w:eastAsia="方正仿宋_GBK" w:cs="方正仿宋_GBK"/>
          <w:spacing w:val="-8"/>
          <w:sz w:val="32"/>
          <w:szCs w:val="32"/>
        </w:rPr>
        <w:t>国家数据平台按照教育教学工作的基本规律，把高等学校与本科教育</w:t>
      </w:r>
      <w:r>
        <w:rPr>
          <w:rFonts w:hint="eastAsia" w:ascii="方正仿宋_GBK" w:hAnsi="方正仿宋_GBK" w:eastAsia="方正仿宋_GBK" w:cs="方正仿宋_GBK"/>
          <w:spacing w:val="-9"/>
          <w:sz w:val="32"/>
          <w:szCs w:val="32"/>
        </w:rPr>
        <w:t>教学工作密切相关的数据按照一定的逻辑关系组织起来，以数字化方</w:t>
      </w:r>
      <w:r>
        <w:rPr>
          <w:rFonts w:hint="eastAsia" w:ascii="方正仿宋_GBK" w:hAnsi="方正仿宋_GBK" w:eastAsia="方正仿宋_GBK" w:cs="方正仿宋_GBK"/>
          <w:spacing w:val="-6"/>
          <w:sz w:val="32"/>
          <w:szCs w:val="32"/>
        </w:rPr>
        <w:t>式呈现出来，形成系统化的、反映高等学校教学运行状态的数据集。</w:t>
      </w:r>
    </w:p>
    <w:p>
      <w:pPr>
        <w:pStyle w:val="2"/>
        <w:spacing w:line="560" w:lineRule="exact"/>
        <w:ind w:firstLine="652"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3"/>
          <w:sz w:val="32"/>
          <w:szCs w:val="32"/>
        </w:rPr>
        <w:t>教育教学基本状态数据库作为国家高等教育质量监控和宏观决</w:t>
      </w:r>
      <w:r>
        <w:rPr>
          <w:rFonts w:hint="eastAsia" w:ascii="方正仿宋_GBK" w:hAnsi="方正仿宋_GBK" w:eastAsia="方正仿宋_GBK" w:cs="方正仿宋_GBK"/>
          <w:spacing w:val="-10"/>
          <w:sz w:val="32"/>
          <w:szCs w:val="32"/>
        </w:rPr>
        <w:t>策的重要组成部分，是加强对高等学校教育教学常态监控，分析和掌</w:t>
      </w:r>
      <w:r>
        <w:rPr>
          <w:rFonts w:hint="eastAsia" w:ascii="方正仿宋_GBK" w:hAnsi="方正仿宋_GBK" w:eastAsia="方正仿宋_GBK" w:cs="方正仿宋_GBK"/>
          <w:spacing w:val="-12"/>
          <w:sz w:val="32"/>
          <w:szCs w:val="32"/>
        </w:rPr>
        <w:t>握高等教育教学工作的宏观运行状态，并通过外部监督，保障和提高</w:t>
      </w:r>
      <w:r>
        <w:rPr>
          <w:rFonts w:hint="eastAsia" w:ascii="方正仿宋_GBK" w:hAnsi="方正仿宋_GBK" w:eastAsia="方正仿宋_GBK" w:cs="方正仿宋_GBK"/>
          <w:spacing w:val="-7"/>
          <w:sz w:val="32"/>
          <w:szCs w:val="32"/>
        </w:rPr>
        <w:t>高等教育质量的重要基础。</w:t>
      </w:r>
    </w:p>
    <w:p>
      <w:pPr>
        <w:pStyle w:val="6"/>
        <w:spacing w:line="560" w:lineRule="exact"/>
        <w:ind w:firstLine="608" w:firstLineChars="200"/>
        <w:rPr>
          <w:rFonts w:ascii="方正仿宋_GBK" w:hAnsi="方正仿宋_GBK" w:eastAsia="方正仿宋_GBK" w:cs="方正仿宋_GBK"/>
          <w:b w:val="0"/>
          <w:bCs w:val="0"/>
          <w:w w:val="95"/>
        </w:rPr>
      </w:pPr>
      <w:bookmarkStart w:id="19" w:name="_Toc124775241"/>
      <w:r>
        <w:rPr>
          <w:rFonts w:ascii="方正仿宋_GBK" w:hAnsi="方正仿宋_GBK" w:eastAsia="方正仿宋_GBK" w:cs="方正仿宋_GBK"/>
          <w:w w:val="95"/>
        </w:rPr>
        <w:t>5.2</w:t>
      </w:r>
      <w:r>
        <w:rPr>
          <w:rFonts w:hint="eastAsia" w:ascii="方正仿宋_GBK" w:hAnsi="方正仿宋_GBK" w:eastAsia="方正仿宋_GBK" w:cs="方正仿宋_GBK"/>
          <w:w w:val="95"/>
        </w:rPr>
        <w:t>学校数据填报要求</w:t>
      </w:r>
      <w:bookmarkEnd w:id="19"/>
    </w:p>
    <w:p>
      <w:pPr>
        <w:pStyle w:val="2"/>
        <w:spacing w:line="560" w:lineRule="exact"/>
        <w:ind w:firstLine="608"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8"/>
          <w:sz w:val="32"/>
          <w:szCs w:val="32"/>
        </w:rPr>
        <w:t>教育教学基本状态数据是对学校教育教学运行、办学条件、教学</w:t>
      </w:r>
      <w:r>
        <w:rPr>
          <w:rFonts w:hint="eastAsia" w:ascii="方正仿宋_GBK" w:hAnsi="方正仿宋_GBK" w:eastAsia="方正仿宋_GBK" w:cs="方正仿宋_GBK"/>
          <w:spacing w:val="-11"/>
          <w:sz w:val="32"/>
          <w:szCs w:val="32"/>
        </w:rPr>
        <w:t>效果等情况的量化反映，是学校自评自建、自评报告撰写、线上审核</w:t>
      </w:r>
      <w:r>
        <w:rPr>
          <w:rFonts w:hint="eastAsia" w:ascii="方正仿宋_GBK" w:hAnsi="方正仿宋_GBK" w:eastAsia="方正仿宋_GBK" w:cs="方正仿宋_GBK"/>
          <w:spacing w:val="-7"/>
          <w:sz w:val="32"/>
          <w:szCs w:val="32"/>
        </w:rPr>
        <w:t>评估的主要依据，是入校评估重点考察与深度查证的重要基础。</w:t>
      </w:r>
    </w:p>
    <w:p>
      <w:pPr>
        <w:pStyle w:val="2"/>
        <w:spacing w:line="560" w:lineRule="exact"/>
        <w:ind w:firstLine="612"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spacing w:val="-7"/>
          <w:sz w:val="32"/>
          <w:szCs w:val="32"/>
        </w:rPr>
        <w:t>数据填报要及时。</w:t>
      </w:r>
      <w:r>
        <w:rPr>
          <w:rFonts w:hint="eastAsia" w:ascii="方正仿宋_GBK" w:hAnsi="方正仿宋_GBK" w:eastAsia="方正仿宋_GBK" w:cs="方正仿宋_GBK"/>
          <w:spacing w:val="-7"/>
          <w:sz w:val="32"/>
          <w:szCs w:val="32"/>
        </w:rPr>
        <w:t>学校上报国家数据平台的数据，将主要用于实</w:t>
      </w:r>
      <w:r>
        <w:rPr>
          <w:rFonts w:hint="eastAsia" w:ascii="方正仿宋_GBK" w:hAnsi="方正仿宋_GBK" w:eastAsia="方正仿宋_GBK" w:cs="方正仿宋_GBK"/>
          <w:spacing w:val="-11"/>
          <w:sz w:val="32"/>
          <w:szCs w:val="32"/>
        </w:rPr>
        <w:t>施常态监控和辅助教学评估，因此学校应在规定的时间内</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pacing w:val="-1"/>
          <w:sz w:val="32"/>
          <w:szCs w:val="32"/>
        </w:rPr>
        <w:t>一般评估前一个月</w:t>
      </w:r>
      <w:r>
        <w:rPr>
          <w:rFonts w:hint="eastAsia" w:ascii="方正仿宋_GBK" w:hAnsi="方正仿宋_GBK" w:eastAsia="方正仿宋_GBK" w:cs="方正仿宋_GBK"/>
          <w:spacing w:val="-51"/>
          <w:sz w:val="32"/>
          <w:szCs w:val="32"/>
        </w:rPr>
        <w:t>）</w:t>
      </w:r>
      <w:r>
        <w:rPr>
          <w:rFonts w:hint="eastAsia" w:ascii="方正仿宋_GBK" w:hAnsi="方正仿宋_GBK" w:eastAsia="方正仿宋_GBK" w:cs="方正仿宋_GBK"/>
          <w:spacing w:val="-7"/>
          <w:sz w:val="32"/>
          <w:szCs w:val="32"/>
        </w:rPr>
        <w:t>及时上传各项评估材料，并根据专家线上评估的基本流程</w:t>
      </w:r>
      <w:r>
        <w:rPr>
          <w:rFonts w:hint="eastAsia" w:ascii="方正仿宋_GBK" w:hAnsi="方正仿宋_GBK" w:eastAsia="方正仿宋_GBK" w:cs="方正仿宋_GBK"/>
          <w:spacing w:val="-11"/>
          <w:sz w:val="32"/>
          <w:szCs w:val="32"/>
        </w:rPr>
        <w:t>和工作需要及时补充相关数据。数据填报结束后，原则上不能再进行</w:t>
      </w:r>
      <w:r>
        <w:rPr>
          <w:rFonts w:hint="eastAsia" w:ascii="方正仿宋_GBK" w:hAnsi="方正仿宋_GBK" w:eastAsia="方正仿宋_GBK" w:cs="方正仿宋_GBK"/>
          <w:spacing w:val="-13"/>
          <w:sz w:val="32"/>
          <w:szCs w:val="32"/>
        </w:rPr>
        <w:t>修改，如确有特殊原因，导致个别数据异常，可在专家进校前加以补充说明。</w:t>
      </w:r>
    </w:p>
    <w:p>
      <w:pPr>
        <w:pStyle w:val="2"/>
        <w:spacing w:line="560" w:lineRule="exact"/>
        <w:ind w:firstLine="612"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b/>
          <w:spacing w:val="-7"/>
          <w:sz w:val="32"/>
          <w:szCs w:val="32"/>
        </w:rPr>
        <w:t>数据填报工作的关键是保证数据真实准确。</w:t>
      </w:r>
      <w:r>
        <w:rPr>
          <w:rFonts w:hint="eastAsia" w:ascii="方正仿宋_GBK" w:hAnsi="方正仿宋_GBK" w:eastAsia="方正仿宋_GBK" w:cs="方正仿宋_GBK"/>
          <w:spacing w:val="-2"/>
          <w:sz w:val="32"/>
          <w:szCs w:val="32"/>
        </w:rPr>
        <w:t>为做到数据填报真实</w:t>
      </w:r>
      <w:r>
        <w:rPr>
          <w:rFonts w:hint="eastAsia" w:ascii="方正仿宋_GBK" w:hAnsi="方正仿宋_GBK" w:eastAsia="方正仿宋_GBK" w:cs="方正仿宋_GBK"/>
          <w:spacing w:val="-10"/>
          <w:sz w:val="32"/>
          <w:szCs w:val="32"/>
        </w:rPr>
        <w:t>准确，首先必须准确把握各个数据项的内涵，熟悉数据采集的统计口</w:t>
      </w:r>
      <w:r>
        <w:rPr>
          <w:rFonts w:hint="eastAsia" w:ascii="方正仿宋_GBK" w:hAnsi="方正仿宋_GBK" w:eastAsia="方正仿宋_GBK" w:cs="方正仿宋_GBK"/>
          <w:spacing w:val="-12"/>
          <w:sz w:val="32"/>
          <w:szCs w:val="32"/>
        </w:rPr>
        <w:t>径与填报要求，并提供网络环境和适当的设备条件。填报期间，还可</w:t>
      </w:r>
      <w:r>
        <w:rPr>
          <w:rFonts w:hint="eastAsia" w:ascii="方正仿宋_GBK" w:hAnsi="方正仿宋_GBK" w:eastAsia="方正仿宋_GBK" w:cs="方正仿宋_GBK"/>
          <w:spacing w:val="-13"/>
          <w:sz w:val="32"/>
          <w:szCs w:val="32"/>
        </w:rPr>
        <w:t>以通过多种途径进行咨询和交流。其次，填报数据时应避免功利心态</w:t>
      </w:r>
      <w:r>
        <w:rPr>
          <w:rFonts w:hint="eastAsia" w:ascii="方正仿宋_GBK" w:hAnsi="方正仿宋_GBK" w:eastAsia="方正仿宋_GBK" w:cs="方正仿宋_GBK"/>
          <w:spacing w:val="-14"/>
          <w:sz w:val="32"/>
          <w:szCs w:val="32"/>
        </w:rPr>
        <w:t>等人为因素的影响，造成数据失真。因此，在数据的采集与填报过程</w:t>
      </w:r>
      <w:r>
        <w:rPr>
          <w:rFonts w:hint="eastAsia" w:ascii="方正仿宋_GBK" w:hAnsi="方正仿宋_GBK" w:eastAsia="方正仿宋_GBK" w:cs="方正仿宋_GBK"/>
          <w:spacing w:val="-12"/>
          <w:sz w:val="32"/>
          <w:szCs w:val="32"/>
        </w:rPr>
        <w:t>中，学校应统筹调度，实现部门间的通力协作，做好信息管理机构与</w:t>
      </w:r>
      <w:r>
        <w:rPr>
          <w:rFonts w:hint="eastAsia" w:ascii="方正仿宋_GBK" w:hAnsi="方正仿宋_GBK" w:eastAsia="方正仿宋_GBK" w:cs="方正仿宋_GBK"/>
          <w:sz w:val="32"/>
          <w:szCs w:val="32"/>
        </w:rPr>
        <w:t>个人的专门培训，强化质量意识、责任意识，准确采集、反复核实、</w:t>
      </w:r>
      <w:r>
        <w:rPr>
          <w:rFonts w:hint="eastAsia" w:ascii="方正仿宋_GBK" w:hAnsi="方正仿宋_GBK" w:eastAsia="方正仿宋_GBK" w:cs="方正仿宋_GBK"/>
          <w:spacing w:val="-9"/>
          <w:sz w:val="32"/>
          <w:szCs w:val="32"/>
        </w:rPr>
        <w:t>核对各项数据，保证数据的真实性、完整性、可靠性和一致性，保证</w:t>
      </w:r>
      <w:r>
        <w:rPr>
          <w:rFonts w:hint="eastAsia" w:ascii="方正仿宋_GBK" w:hAnsi="方正仿宋_GBK" w:eastAsia="方正仿宋_GBK" w:cs="方正仿宋_GBK"/>
          <w:spacing w:val="-6"/>
          <w:sz w:val="32"/>
          <w:szCs w:val="32"/>
        </w:rPr>
        <w:t>数据真实反映学校实际教学状况。</w:t>
      </w:r>
    </w:p>
    <w:p>
      <w:pPr>
        <w:pStyle w:val="2"/>
        <w:spacing w:line="560" w:lineRule="exact"/>
        <w:ind w:firstLine="640" w:firstLineChars="200"/>
        <w:jc w:val="both"/>
        <w:rPr>
          <w:rFonts w:ascii="方正仿宋_GBK" w:hAnsi="方正仿宋_GBK" w:eastAsia="方正仿宋_GBK" w:cs="方正仿宋_GBK"/>
          <w:spacing w:val="-8"/>
          <w:sz w:val="32"/>
          <w:szCs w:val="32"/>
        </w:rPr>
      </w:pPr>
      <w:r>
        <w:rPr>
          <w:rFonts w:hint="eastAsia" w:ascii="方正仿宋_GBK" w:hAnsi="方正仿宋_GBK" w:eastAsia="方正仿宋_GBK" w:cs="方正仿宋_GBK"/>
          <w:b/>
          <w:sz w:val="32"/>
          <w:szCs w:val="32"/>
        </w:rPr>
        <w:t>数据填报的价值在于常态监控。</w:t>
      </w:r>
      <w:r>
        <w:rPr>
          <w:rFonts w:hint="eastAsia" w:ascii="方正仿宋_GBK" w:hAnsi="方正仿宋_GBK" w:eastAsia="方正仿宋_GBK" w:cs="方正仿宋_GBK"/>
          <w:sz w:val="32"/>
          <w:szCs w:val="32"/>
        </w:rPr>
        <w:t>学校在日常管理中，通过积累、</w:t>
      </w:r>
      <w:r>
        <w:rPr>
          <w:rFonts w:hint="eastAsia" w:ascii="方正仿宋_GBK" w:hAnsi="方正仿宋_GBK" w:eastAsia="方正仿宋_GBK" w:cs="方正仿宋_GBK"/>
          <w:spacing w:val="-9"/>
          <w:sz w:val="32"/>
          <w:szCs w:val="32"/>
        </w:rPr>
        <w:t>统计数据库相关数据，对相关指标进行常态量化监测，分类管理，可</w:t>
      </w:r>
      <w:r>
        <w:rPr>
          <w:rFonts w:hint="eastAsia" w:ascii="方正仿宋_GBK" w:hAnsi="方正仿宋_GBK" w:eastAsia="方正仿宋_GBK" w:cs="方正仿宋_GBK"/>
          <w:spacing w:val="-11"/>
          <w:sz w:val="32"/>
          <w:szCs w:val="32"/>
        </w:rPr>
        <w:t>以及时准确把握各专业发展状态，为学校决策提供参考。教育部教育质量评估中心</w:t>
      </w:r>
      <w:r>
        <w:rPr>
          <w:rFonts w:hint="eastAsia" w:ascii="方正仿宋_GBK" w:hAnsi="方正仿宋_GBK" w:eastAsia="方正仿宋_GBK" w:cs="方正仿宋_GBK"/>
          <w:spacing w:val="-18"/>
          <w:sz w:val="32"/>
          <w:szCs w:val="32"/>
        </w:rPr>
        <w:t>编制的《教育教学基本状态数据分析报告》，是以参评学校上报的教</w:t>
      </w:r>
      <w:r>
        <w:rPr>
          <w:rFonts w:hint="eastAsia" w:ascii="方正仿宋_GBK" w:hAnsi="方正仿宋_GBK" w:eastAsia="方正仿宋_GBK" w:cs="方正仿宋_GBK"/>
          <w:spacing w:val="-14"/>
          <w:sz w:val="32"/>
          <w:szCs w:val="32"/>
        </w:rPr>
        <w:t>育教学数据为基础，对原始数据进行整理和运算后转化成可供评估分析研究的数据指标。高校填报数据后，可以登录国家数据平台查看并</w:t>
      </w:r>
      <w:r>
        <w:rPr>
          <w:rFonts w:hint="eastAsia" w:ascii="方正仿宋_GBK" w:hAnsi="方正仿宋_GBK" w:eastAsia="方正仿宋_GBK" w:cs="方正仿宋_GBK"/>
          <w:spacing w:val="-13"/>
          <w:sz w:val="32"/>
          <w:szCs w:val="32"/>
        </w:rPr>
        <w:t>下载本校填报的数据，还可以根据数据分析报告，对本校的教育教学</w:t>
      </w:r>
      <w:r>
        <w:rPr>
          <w:rFonts w:hint="eastAsia" w:ascii="方正仿宋_GBK" w:hAnsi="方正仿宋_GBK" w:eastAsia="方正仿宋_GBK" w:cs="方正仿宋_GBK"/>
          <w:spacing w:val="-14"/>
          <w:sz w:val="32"/>
          <w:szCs w:val="32"/>
        </w:rPr>
        <w:t>基本状态数据进行科学系统分析，从整体上把握学校教育教学工作的发展</w:t>
      </w:r>
      <w:r>
        <w:rPr>
          <w:rFonts w:hint="eastAsia" w:ascii="方正仿宋_GBK" w:hAnsi="方正仿宋_GBK" w:eastAsia="方正仿宋_GBK" w:cs="方正仿宋_GBK"/>
          <w:spacing w:val="-13"/>
          <w:sz w:val="32"/>
          <w:szCs w:val="32"/>
        </w:rPr>
        <w:t>变化和当前状况，有助于学校精准对标，找准优势与不足，聚焦人才</w:t>
      </w:r>
      <w:r>
        <w:rPr>
          <w:rFonts w:hint="eastAsia" w:ascii="方正仿宋_GBK" w:hAnsi="方正仿宋_GBK" w:eastAsia="方正仿宋_GBK" w:cs="方正仿宋_GBK"/>
          <w:spacing w:val="-8"/>
          <w:sz w:val="32"/>
          <w:szCs w:val="32"/>
        </w:rPr>
        <w:t>培养短板，精准整改。</w:t>
      </w:r>
    </w:p>
    <w:p>
      <w:pPr>
        <w:pStyle w:val="5"/>
        <w:spacing w:before="0" w:line="560" w:lineRule="exact"/>
        <w:ind w:firstLine="640" w:firstLineChars="200"/>
        <w:rPr>
          <w:rFonts w:ascii="方正仿宋_GBK" w:hAnsi="方正仿宋_GBK" w:eastAsia="方正仿宋_GBK" w:cs="方正仿宋_GBK"/>
        </w:rPr>
      </w:pPr>
      <w:bookmarkStart w:id="20" w:name="_Toc124775242"/>
      <w:r>
        <w:rPr>
          <w:rFonts w:ascii="方正仿宋_GBK" w:hAnsi="方正仿宋_GBK" w:eastAsia="方正仿宋_GBK" w:cs="方正仿宋_GBK"/>
        </w:rPr>
        <w:t>6.</w:t>
      </w:r>
      <w:r>
        <w:rPr>
          <w:rFonts w:hint="eastAsia" w:ascii="方正仿宋_GBK" w:hAnsi="方正仿宋_GBK" w:eastAsia="方正仿宋_GBK" w:cs="方正仿宋_GBK"/>
        </w:rPr>
        <w:t>认真准备评估材料</w:t>
      </w:r>
      <w:bookmarkEnd w:id="20"/>
    </w:p>
    <w:p>
      <w:pPr>
        <w:pStyle w:val="2"/>
        <w:spacing w:line="560" w:lineRule="exact"/>
        <w:ind w:firstLine="60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10"/>
          <w:sz w:val="32"/>
          <w:szCs w:val="32"/>
        </w:rPr>
        <w:t>教学档案、支撑材料是学校自评自建工作的重要材料。新一轮审</w:t>
      </w:r>
      <w:r>
        <w:rPr>
          <w:rFonts w:hint="eastAsia" w:ascii="方正仿宋_GBK" w:hAnsi="方正仿宋_GBK" w:eastAsia="方正仿宋_GBK" w:cs="方正仿宋_GBK"/>
          <w:spacing w:val="-7"/>
          <w:sz w:val="32"/>
          <w:szCs w:val="32"/>
        </w:rPr>
        <w:t>核评估采取线上评估和入校评估结合的新模式，</w:t>
      </w:r>
    </w:p>
    <w:p>
      <w:pPr>
        <w:pStyle w:val="6"/>
        <w:spacing w:line="560" w:lineRule="exact"/>
        <w:ind w:firstLine="608" w:firstLineChars="200"/>
        <w:rPr>
          <w:rFonts w:ascii="方正仿宋_GBK" w:hAnsi="方正仿宋_GBK" w:eastAsia="方正仿宋_GBK" w:cs="方正仿宋_GBK"/>
          <w:b w:val="0"/>
          <w:bCs w:val="0"/>
          <w:w w:val="95"/>
        </w:rPr>
      </w:pPr>
      <w:bookmarkStart w:id="21" w:name="_Toc124775243"/>
      <w:r>
        <w:rPr>
          <w:rFonts w:ascii="方正仿宋_GBK" w:hAnsi="方正仿宋_GBK" w:eastAsia="方正仿宋_GBK" w:cs="方正仿宋_GBK"/>
          <w:w w:val="95"/>
        </w:rPr>
        <w:t>6.1</w:t>
      </w:r>
      <w:r>
        <w:rPr>
          <w:rFonts w:hint="eastAsia" w:ascii="方正仿宋_GBK" w:hAnsi="方正仿宋_GBK" w:eastAsia="方正仿宋_GBK" w:cs="方正仿宋_GBK"/>
          <w:w w:val="95"/>
        </w:rPr>
        <w:t>教学档案的准备</w:t>
      </w:r>
      <w:bookmarkEnd w:id="21"/>
    </w:p>
    <w:p>
      <w:pPr>
        <w:pStyle w:val="2"/>
        <w:spacing w:line="560"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教学档案是学校在教学管理、教学实践活动中形成的基本材料，</w:t>
      </w:r>
      <w:r>
        <w:rPr>
          <w:rFonts w:hint="eastAsia" w:ascii="方正仿宋_GBK" w:hAnsi="方正仿宋_GBK" w:eastAsia="方正仿宋_GBK" w:cs="方正仿宋_GBK"/>
          <w:spacing w:val="-17"/>
          <w:sz w:val="32"/>
          <w:szCs w:val="32"/>
        </w:rPr>
        <w:t>是学校日常教育教学工作的“证据”，包括课程、试卷、毕业设计</w:t>
      </w:r>
      <w:r>
        <w:rPr>
          <w:rFonts w:ascii="方正仿宋_GBK" w:hAnsi="方正仿宋_GBK" w:eastAsia="方正仿宋_GBK" w:cs="方正仿宋_GBK"/>
          <w:spacing w:val="-17"/>
          <w:sz w:val="32"/>
          <w:szCs w:val="32"/>
        </w:rPr>
        <w:t>(</w:t>
      </w:r>
      <w:r>
        <w:rPr>
          <w:rFonts w:hint="eastAsia" w:ascii="方正仿宋_GBK" w:hAnsi="方正仿宋_GBK" w:eastAsia="方正仿宋_GBK" w:cs="方正仿宋_GBK"/>
          <w:spacing w:val="-17"/>
          <w:sz w:val="32"/>
          <w:szCs w:val="32"/>
        </w:rPr>
        <w:t>论</w:t>
      </w:r>
      <w:r>
        <w:rPr>
          <w:rFonts w:hint="eastAsia" w:ascii="方正仿宋_GBK" w:hAnsi="方正仿宋_GBK" w:eastAsia="方正仿宋_GBK" w:cs="方正仿宋_GBK"/>
          <w:spacing w:val="-4"/>
          <w:sz w:val="32"/>
          <w:szCs w:val="32"/>
        </w:rPr>
        <w:t>文</w:t>
      </w:r>
      <w:r>
        <w:rPr>
          <w:rFonts w:ascii="方正仿宋_GBK" w:hAnsi="方正仿宋_GBK" w:eastAsia="方正仿宋_GBK" w:cs="方正仿宋_GBK"/>
          <w:spacing w:val="-4"/>
          <w:sz w:val="32"/>
          <w:szCs w:val="32"/>
        </w:rPr>
        <w:t>)</w:t>
      </w:r>
      <w:r>
        <w:rPr>
          <w:rFonts w:hint="eastAsia" w:ascii="方正仿宋_GBK" w:hAnsi="方正仿宋_GBK" w:eastAsia="方正仿宋_GBK" w:cs="方正仿宋_GBK"/>
          <w:spacing w:val="-4"/>
          <w:sz w:val="32"/>
          <w:szCs w:val="32"/>
        </w:rPr>
        <w:t>、实习实践等过程性与终结性材料。教学档案按学校日常管理规</w:t>
      </w:r>
      <w:r>
        <w:rPr>
          <w:rFonts w:hint="eastAsia" w:ascii="方正仿宋_GBK" w:hAnsi="方正仿宋_GBK" w:eastAsia="方正仿宋_GBK" w:cs="方正仿宋_GBK"/>
          <w:spacing w:val="-11"/>
          <w:sz w:val="32"/>
          <w:szCs w:val="32"/>
        </w:rPr>
        <w:t>定存放，无须做特定的整理，应保证原始性和真实性，在审核评估期</w:t>
      </w:r>
      <w:r>
        <w:rPr>
          <w:rFonts w:hint="eastAsia" w:ascii="方正仿宋_GBK" w:hAnsi="方正仿宋_GBK" w:eastAsia="方正仿宋_GBK" w:cs="方正仿宋_GBK"/>
          <w:spacing w:val="-7"/>
          <w:sz w:val="32"/>
          <w:szCs w:val="32"/>
        </w:rPr>
        <w:t>间按要求上传，切忌突击整理和弄虚作假。</w:t>
      </w:r>
    </w:p>
    <w:p>
      <w:pPr>
        <w:pStyle w:val="6"/>
        <w:spacing w:line="560" w:lineRule="exact"/>
        <w:ind w:firstLine="608" w:firstLineChars="200"/>
        <w:rPr>
          <w:rFonts w:ascii="方正仿宋_GBK" w:hAnsi="方正仿宋_GBK" w:eastAsia="方正仿宋_GBK" w:cs="方正仿宋_GBK"/>
          <w:b w:val="0"/>
          <w:bCs w:val="0"/>
          <w:w w:val="95"/>
        </w:rPr>
      </w:pPr>
      <w:bookmarkStart w:id="22" w:name="_Toc124775244"/>
      <w:r>
        <w:rPr>
          <w:rFonts w:ascii="方正仿宋_GBK" w:hAnsi="方正仿宋_GBK" w:eastAsia="方正仿宋_GBK" w:cs="方正仿宋_GBK"/>
          <w:w w:val="95"/>
        </w:rPr>
        <w:t>6.2</w:t>
      </w:r>
      <w:r>
        <w:rPr>
          <w:rFonts w:hint="eastAsia" w:ascii="方正仿宋_GBK" w:hAnsi="方正仿宋_GBK" w:eastAsia="方正仿宋_GBK" w:cs="方正仿宋_GBK"/>
          <w:w w:val="95"/>
        </w:rPr>
        <w:t>支撑材料的准备</w:t>
      </w:r>
      <w:bookmarkEnd w:id="22"/>
    </w:p>
    <w:p>
      <w:pPr>
        <w:pStyle w:val="2"/>
        <w:spacing w:line="560" w:lineRule="exact"/>
        <w:ind w:firstLine="612"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7"/>
          <w:sz w:val="32"/>
          <w:szCs w:val="32"/>
        </w:rPr>
        <w:t>支撑材料指用于支撑或证明自评报告所述内容的相关材料，是对</w:t>
      </w:r>
      <w:r>
        <w:rPr>
          <w:rFonts w:hint="eastAsia" w:ascii="方正仿宋_GBK" w:hAnsi="方正仿宋_GBK" w:eastAsia="方正仿宋_GBK" w:cs="方正仿宋_GBK"/>
          <w:spacing w:val="3"/>
          <w:sz w:val="32"/>
          <w:szCs w:val="32"/>
        </w:rPr>
        <w:t>参评高校本科教育教学工作审核评估项目和要素起到支撑作用的证</w:t>
      </w:r>
      <w:r>
        <w:rPr>
          <w:rFonts w:hint="eastAsia" w:ascii="方正仿宋_GBK" w:hAnsi="方正仿宋_GBK" w:eastAsia="方正仿宋_GBK" w:cs="方正仿宋_GBK"/>
          <w:spacing w:val="-9"/>
          <w:sz w:val="32"/>
          <w:szCs w:val="32"/>
        </w:rPr>
        <w:t>据性材料。包括管理文件、教学资料、学生学习档案、各类记录性材料、合作协议或其它佐证材料等。支撑材料以学校教学档案为基础，</w:t>
      </w:r>
      <w:r>
        <w:rPr>
          <w:rFonts w:hint="eastAsia" w:ascii="方正仿宋_GBK" w:hAnsi="方正仿宋_GBK" w:eastAsia="方正仿宋_GBK" w:cs="方正仿宋_GBK"/>
          <w:spacing w:val="-11"/>
          <w:sz w:val="32"/>
          <w:szCs w:val="32"/>
        </w:rPr>
        <w:t>与教学档案有交叉的部分无需单独整理，可依据所支撑的项目和要素</w:t>
      </w:r>
      <w:r>
        <w:rPr>
          <w:rFonts w:hint="eastAsia" w:ascii="方正仿宋_GBK" w:hAnsi="方正仿宋_GBK" w:eastAsia="方正仿宋_GBK" w:cs="方正仿宋_GBK"/>
          <w:spacing w:val="-7"/>
          <w:sz w:val="32"/>
          <w:szCs w:val="32"/>
        </w:rPr>
        <w:t>提供材料索引，以方便专家查找、审阅。</w:t>
      </w:r>
    </w:p>
    <w:p>
      <w:pPr>
        <w:pStyle w:val="6"/>
        <w:spacing w:line="560" w:lineRule="exact"/>
        <w:ind w:firstLine="608" w:firstLineChars="200"/>
        <w:rPr>
          <w:rFonts w:ascii="方正仿宋_GBK" w:hAnsi="方正仿宋_GBK" w:eastAsia="方正仿宋_GBK" w:cs="方正仿宋_GBK"/>
          <w:b w:val="0"/>
          <w:bCs w:val="0"/>
          <w:w w:val="95"/>
        </w:rPr>
      </w:pPr>
      <w:bookmarkStart w:id="23" w:name="_Toc124775245"/>
      <w:r>
        <w:rPr>
          <w:rFonts w:ascii="方正仿宋_GBK" w:hAnsi="方正仿宋_GBK" w:eastAsia="方正仿宋_GBK" w:cs="方正仿宋_GBK"/>
          <w:w w:val="95"/>
        </w:rPr>
        <w:t>6.3</w:t>
      </w:r>
      <w:r>
        <w:rPr>
          <w:rFonts w:hint="eastAsia" w:ascii="方正仿宋_GBK" w:hAnsi="方正仿宋_GBK" w:eastAsia="方正仿宋_GBK" w:cs="方正仿宋_GBK"/>
          <w:w w:val="95"/>
        </w:rPr>
        <w:t>线上评估材料的准备与提交</w:t>
      </w:r>
      <w:bookmarkEnd w:id="23"/>
    </w:p>
    <w:p>
      <w:pPr>
        <w:pStyle w:val="2"/>
        <w:spacing w:line="560" w:lineRule="exact"/>
        <w:ind w:firstLine="612"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7"/>
          <w:sz w:val="32"/>
          <w:szCs w:val="32"/>
        </w:rPr>
        <w:t>新一轮审核评估采取线上与入校评估结合的方式进行，专家可通</w:t>
      </w:r>
      <w:r>
        <w:rPr>
          <w:rFonts w:hint="eastAsia" w:ascii="方正仿宋_GBK" w:hAnsi="方正仿宋_GBK" w:eastAsia="方正仿宋_GBK" w:cs="方正仿宋_GBK"/>
          <w:spacing w:val="-14"/>
          <w:sz w:val="32"/>
          <w:szCs w:val="32"/>
        </w:rPr>
        <w:t>过线上审阅材料、线上访谈等对学</w:t>
      </w:r>
      <w:r>
        <w:rPr>
          <w:rFonts w:hint="eastAsia" w:ascii="方正仿宋_GBK" w:hAnsi="方正仿宋_GBK" w:eastAsia="方正仿宋_GBK" w:cs="方正仿宋_GBK"/>
          <w:sz w:val="32"/>
          <w:szCs w:val="32"/>
        </w:rPr>
        <w:t>校教育教学工作情况进行评估。《普通高等学校本科教育教学审核评估管理信息系统》平台是为评估专门做的工作平台，该</w:t>
      </w:r>
      <w:r>
        <w:rPr>
          <w:rFonts w:hint="eastAsia" w:ascii="方正仿宋_GBK" w:hAnsi="方正仿宋_GBK" w:eastAsia="方正仿宋_GBK" w:cs="方正仿宋_GBK"/>
          <w:spacing w:val="-22"/>
          <w:sz w:val="32"/>
          <w:szCs w:val="32"/>
        </w:rPr>
        <w:t>平台实现了把学校、专家和评估组织者三方有效联结。</w:t>
      </w:r>
      <w:r>
        <w:rPr>
          <w:rFonts w:hint="eastAsia" w:ascii="方正仿宋_GBK" w:hAnsi="方正仿宋_GBK" w:eastAsia="方正仿宋_GBK" w:cs="方正仿宋_GBK"/>
          <w:spacing w:val="-24"/>
          <w:sz w:val="32"/>
          <w:szCs w:val="32"/>
        </w:rPr>
        <w:t>学校在评估前须通过这个平台将《自评报告》、教学档案和支撑材料</w:t>
      </w:r>
      <w:r>
        <w:rPr>
          <w:rFonts w:hint="eastAsia" w:ascii="方正仿宋_GBK" w:hAnsi="方正仿宋_GBK" w:eastAsia="方正仿宋_GBK" w:cs="方正仿宋_GBK"/>
          <w:spacing w:val="-15"/>
          <w:sz w:val="32"/>
          <w:szCs w:val="32"/>
        </w:rPr>
        <w:t>等上传至平台上，以便专家审阅。因此，参评学校须熟悉这个平台的</w:t>
      </w:r>
      <w:r>
        <w:rPr>
          <w:rFonts w:hint="eastAsia" w:ascii="方正仿宋_GBK" w:hAnsi="方正仿宋_GBK" w:eastAsia="方正仿宋_GBK" w:cs="方正仿宋_GBK"/>
          <w:spacing w:val="-12"/>
          <w:sz w:val="32"/>
          <w:szCs w:val="32"/>
        </w:rPr>
        <w:t>功能，并派专人专门负责这个平台的信息交流，并在入校评估前第</w:t>
      </w:r>
      <w:r>
        <w:rPr>
          <w:rFonts w:ascii="方正仿宋_GBK" w:hAnsi="方正仿宋_GBK" w:eastAsia="方正仿宋_GBK" w:cs="方正仿宋_GBK"/>
          <w:spacing w:val="-12"/>
          <w:sz w:val="32"/>
          <w:szCs w:val="32"/>
        </w:rPr>
        <w:t>4-5</w:t>
      </w:r>
      <w:r>
        <w:rPr>
          <w:rFonts w:hint="eastAsia" w:ascii="方正仿宋_GBK" w:hAnsi="方正仿宋_GBK" w:eastAsia="方正仿宋_GBK" w:cs="方正仿宋_GBK"/>
          <w:spacing w:val="-12"/>
          <w:sz w:val="32"/>
          <w:szCs w:val="32"/>
        </w:rPr>
        <w:t>周，即在线上评估开始前</w:t>
      </w:r>
      <w:r>
        <w:rPr>
          <w:rFonts w:hint="eastAsia" w:ascii="方正仿宋_GBK" w:hAnsi="方正仿宋_GBK" w:eastAsia="方正仿宋_GBK" w:cs="方正仿宋_GBK"/>
          <w:spacing w:val="-11"/>
          <w:sz w:val="32"/>
          <w:szCs w:val="32"/>
        </w:rPr>
        <w:t>上传《自评报告》及教学有关资料，包括专业清单、课程清单、实验室清单、实习实训基地清单，近两年毕业设计</w:t>
      </w:r>
      <w:r>
        <w:rPr>
          <w:rFonts w:hint="eastAsia" w:ascii="方正仿宋_GBK" w:hAnsi="方正仿宋_GBK" w:eastAsia="方正仿宋_GBK" w:cs="方正仿宋_GBK"/>
          <w:spacing w:val="-3"/>
          <w:sz w:val="32"/>
          <w:szCs w:val="32"/>
        </w:rPr>
        <w:t>（</w:t>
      </w:r>
      <w:r>
        <w:rPr>
          <w:rFonts w:hint="eastAsia" w:ascii="方正仿宋_GBK" w:hAnsi="方正仿宋_GBK" w:eastAsia="方正仿宋_GBK" w:cs="方正仿宋_GBK"/>
          <w:sz w:val="32"/>
          <w:szCs w:val="32"/>
        </w:rPr>
        <w:t>论文</w:t>
      </w:r>
      <w:r>
        <w:rPr>
          <w:rFonts w:hint="eastAsia" w:ascii="方正仿宋_GBK" w:hAnsi="方正仿宋_GBK" w:eastAsia="方正仿宋_GBK" w:cs="方正仿宋_GBK"/>
          <w:spacing w:val="-22"/>
          <w:sz w:val="32"/>
          <w:szCs w:val="32"/>
        </w:rPr>
        <w:t>）</w:t>
      </w:r>
      <w:r>
        <w:rPr>
          <w:rFonts w:hint="eastAsia" w:ascii="方正仿宋_GBK" w:hAnsi="方正仿宋_GBK" w:eastAsia="方正仿宋_GBK" w:cs="方正仿宋_GBK"/>
          <w:spacing w:val="-5"/>
          <w:sz w:val="32"/>
          <w:szCs w:val="32"/>
        </w:rPr>
        <w:t>清单、试卷清</w:t>
      </w:r>
      <w:r>
        <w:rPr>
          <w:rFonts w:hint="eastAsia" w:ascii="方正仿宋_GBK" w:hAnsi="方正仿宋_GBK" w:eastAsia="方正仿宋_GBK" w:cs="方正仿宋_GBK"/>
          <w:spacing w:val="-11"/>
          <w:sz w:val="32"/>
          <w:szCs w:val="32"/>
        </w:rPr>
        <w:t>单等；学校教学活动安排，如校历、课程表等；机构及人员目录，如</w:t>
      </w:r>
      <w:r>
        <w:rPr>
          <w:rFonts w:hint="eastAsia" w:ascii="方正仿宋_GBK" w:hAnsi="方正仿宋_GBK" w:eastAsia="方正仿宋_GBK" w:cs="方正仿宋_GBK"/>
          <w:spacing w:val="-13"/>
          <w:sz w:val="32"/>
          <w:szCs w:val="32"/>
        </w:rPr>
        <w:t>职能部门、教学单位清单，校领导名单、教师名单、学生名单、管理人员名单，以及最新一版的人才培养方案等。电子文本资料按要求可</w:t>
      </w:r>
      <w:r>
        <w:rPr>
          <w:rFonts w:hint="eastAsia" w:ascii="方正仿宋_GBK" w:hAnsi="方正仿宋_GBK" w:eastAsia="方正仿宋_GBK" w:cs="方正仿宋_GBK"/>
          <w:spacing w:val="-14"/>
          <w:sz w:val="32"/>
          <w:szCs w:val="32"/>
        </w:rPr>
        <w:t>直接上传；具备条件的学校，可采取扫描、拍照后上传等方式为专家组提供调阅的试卷、毕业设计</w:t>
      </w:r>
      <w:r>
        <w:rPr>
          <w:rFonts w:ascii="方正仿宋_GBK" w:hAnsi="方正仿宋_GBK" w:eastAsia="方正仿宋_GBK" w:cs="方正仿宋_GBK"/>
          <w:spacing w:val="-14"/>
          <w:sz w:val="32"/>
          <w:szCs w:val="32"/>
        </w:rPr>
        <w:t>(</w:t>
      </w:r>
      <w:r>
        <w:rPr>
          <w:rFonts w:hint="eastAsia" w:ascii="方正仿宋_GBK" w:hAnsi="方正仿宋_GBK" w:eastAsia="方正仿宋_GBK" w:cs="方正仿宋_GBK"/>
          <w:spacing w:val="-14"/>
          <w:sz w:val="32"/>
          <w:szCs w:val="32"/>
        </w:rPr>
        <w:t>论文</w:t>
      </w:r>
      <w:r>
        <w:rPr>
          <w:rFonts w:ascii="方正仿宋_GBK" w:hAnsi="方正仿宋_GBK" w:eastAsia="方正仿宋_GBK" w:cs="方正仿宋_GBK"/>
          <w:spacing w:val="-14"/>
          <w:sz w:val="32"/>
          <w:szCs w:val="32"/>
        </w:rPr>
        <w:t>)</w:t>
      </w:r>
      <w:r>
        <w:rPr>
          <w:rFonts w:hint="eastAsia" w:ascii="方正仿宋_GBK" w:hAnsi="方正仿宋_GBK" w:eastAsia="方正仿宋_GBK" w:cs="方正仿宋_GBK"/>
          <w:spacing w:val="-14"/>
          <w:sz w:val="32"/>
          <w:szCs w:val="32"/>
        </w:rPr>
        <w:t>、合作协议等文档。涉密的资料或学校认为不宜上传的资料可以不上传。对于具备条件的高校，也</w:t>
      </w:r>
      <w:r>
        <w:rPr>
          <w:rFonts w:hint="eastAsia" w:ascii="方正仿宋_GBK" w:hAnsi="方正仿宋_GBK" w:eastAsia="方正仿宋_GBK" w:cs="方正仿宋_GBK"/>
          <w:spacing w:val="-8"/>
          <w:sz w:val="32"/>
          <w:szCs w:val="32"/>
        </w:rPr>
        <w:t>可组织实施专家线上听课看课。</w:t>
      </w:r>
    </w:p>
    <w:p>
      <w:pPr>
        <w:pStyle w:val="5"/>
        <w:spacing w:before="0" w:line="560" w:lineRule="exact"/>
        <w:ind w:firstLine="640" w:firstLineChars="200"/>
        <w:rPr>
          <w:rFonts w:ascii="方正仿宋_GBK" w:hAnsi="方正仿宋_GBK" w:eastAsia="方正仿宋_GBK" w:cs="方正仿宋_GBK"/>
        </w:rPr>
      </w:pPr>
      <w:bookmarkStart w:id="24" w:name="_Toc124775246"/>
      <w:r>
        <w:rPr>
          <w:rFonts w:ascii="方正仿宋_GBK" w:hAnsi="方正仿宋_GBK" w:eastAsia="方正仿宋_GBK" w:cs="方正仿宋_GBK"/>
        </w:rPr>
        <w:t>7.</w:t>
      </w:r>
      <w:r>
        <w:rPr>
          <w:rFonts w:hint="eastAsia" w:ascii="方正仿宋_GBK" w:hAnsi="方正仿宋_GBK" w:eastAsia="方正仿宋_GBK" w:cs="方正仿宋_GBK"/>
        </w:rPr>
        <w:t>扎实做好评估整改工作</w:t>
      </w:r>
      <w:bookmarkEnd w:id="24"/>
    </w:p>
    <w:p>
      <w:pPr>
        <w:pStyle w:val="6"/>
        <w:spacing w:line="560" w:lineRule="exact"/>
        <w:ind w:firstLine="608" w:firstLineChars="200"/>
        <w:rPr>
          <w:rFonts w:ascii="方正仿宋_GBK" w:hAnsi="方正仿宋_GBK" w:eastAsia="方正仿宋_GBK" w:cs="方正仿宋_GBK"/>
          <w:b w:val="0"/>
          <w:bCs w:val="0"/>
          <w:w w:val="95"/>
        </w:rPr>
      </w:pPr>
      <w:bookmarkStart w:id="25" w:name="_Toc124775247"/>
      <w:r>
        <w:rPr>
          <w:rFonts w:ascii="方正仿宋_GBK" w:hAnsi="方正仿宋_GBK" w:eastAsia="方正仿宋_GBK" w:cs="方正仿宋_GBK"/>
          <w:w w:val="95"/>
        </w:rPr>
        <w:t>7.1</w:t>
      </w:r>
      <w:r>
        <w:rPr>
          <w:rFonts w:hint="eastAsia" w:ascii="方正仿宋_GBK" w:hAnsi="方正仿宋_GBK" w:eastAsia="方正仿宋_GBK" w:cs="方正仿宋_GBK"/>
          <w:w w:val="95"/>
        </w:rPr>
        <w:t>梳理问题，分析根源，制定整改工作方案</w:t>
      </w:r>
      <w:bookmarkEnd w:id="25"/>
    </w:p>
    <w:p>
      <w:pPr>
        <w:pStyle w:val="2"/>
        <w:spacing w:line="560"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整改是审核评估重要一环。新一轮审核评估坚持问题导向，建立</w:t>
      </w:r>
      <w:r>
        <w:rPr>
          <w:rFonts w:hint="eastAsia" w:ascii="方正仿宋_GBK" w:hAnsi="方正仿宋_GBK" w:eastAsia="方正仿宋_GBK" w:cs="方正仿宋_GBK"/>
          <w:spacing w:val="-22"/>
          <w:sz w:val="32"/>
          <w:szCs w:val="32"/>
        </w:rPr>
        <w:t>“问题清单”，严把高校正确办学方向，落实本科人才培养底线要求，</w:t>
      </w:r>
      <w:r>
        <w:rPr>
          <w:rFonts w:hint="eastAsia" w:ascii="方正仿宋_GBK" w:hAnsi="方正仿宋_GBK" w:eastAsia="方正仿宋_GBK" w:cs="方正仿宋_GBK"/>
          <w:spacing w:val="-15"/>
          <w:sz w:val="32"/>
          <w:szCs w:val="32"/>
        </w:rPr>
        <w:t>提出改进发展意见，强化评估结果使用和督导复查，推动高校落实主</w:t>
      </w:r>
      <w:r>
        <w:rPr>
          <w:rFonts w:hint="eastAsia" w:ascii="方正仿宋_GBK" w:hAnsi="方正仿宋_GBK" w:eastAsia="方正仿宋_GBK" w:cs="方正仿宋_GBK"/>
          <w:sz w:val="32"/>
          <w:szCs w:val="32"/>
        </w:rPr>
        <w:t>体责任、建立持续改进长效机制，培育高校质量文化。</w:t>
      </w:r>
    </w:p>
    <w:p>
      <w:pPr>
        <w:pStyle w:val="2"/>
        <w:spacing w:line="560" w:lineRule="exact"/>
        <w:ind w:firstLine="596"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11"/>
          <w:sz w:val="32"/>
          <w:szCs w:val="32"/>
        </w:rPr>
        <w:t>第一，切实提高对评估整改工作的认识。</w:t>
      </w:r>
      <w:r>
        <w:rPr>
          <w:rFonts w:hint="eastAsia" w:ascii="方正仿宋_GBK" w:hAnsi="方正仿宋_GBK" w:eastAsia="方正仿宋_GBK" w:cs="方正仿宋_GBK"/>
          <w:sz w:val="32"/>
          <w:szCs w:val="32"/>
        </w:rPr>
        <w:t>参评学校应按照《方案》要求成立由学校主要领导担任组长的整改工作领导小组。</w:t>
      </w:r>
      <w:r>
        <w:rPr>
          <w:rFonts w:hint="eastAsia" w:ascii="方正仿宋_GBK" w:hAnsi="方正仿宋_GBK" w:eastAsia="方正仿宋_GBK" w:cs="方正仿宋_GBK"/>
          <w:spacing w:val="-11"/>
          <w:sz w:val="32"/>
          <w:szCs w:val="32"/>
        </w:rPr>
        <w:t>应在评估后召开专</w:t>
      </w:r>
      <w:r>
        <w:rPr>
          <w:rFonts w:hint="eastAsia" w:ascii="方正仿宋_GBK" w:hAnsi="方正仿宋_GBK" w:eastAsia="方正仿宋_GBK" w:cs="方正仿宋_GBK"/>
          <w:spacing w:val="-12"/>
          <w:sz w:val="32"/>
          <w:szCs w:val="32"/>
        </w:rPr>
        <w:t>题会议，</w:t>
      </w:r>
      <w:r>
        <w:rPr>
          <w:rFonts w:hint="eastAsia" w:ascii="方正仿宋_GBK" w:hAnsi="方正仿宋_GBK" w:eastAsia="方正仿宋_GBK" w:cs="方正仿宋_GBK"/>
          <w:sz w:val="32"/>
          <w:szCs w:val="32"/>
        </w:rPr>
        <w:t>重在制度建设，</w:t>
      </w:r>
      <w:r>
        <w:rPr>
          <w:rFonts w:hint="eastAsia" w:ascii="方正仿宋_GBK" w:hAnsi="方正仿宋_GBK" w:eastAsia="方正仿宋_GBK" w:cs="方正仿宋_GBK"/>
          <w:spacing w:val="-12"/>
          <w:sz w:val="32"/>
          <w:szCs w:val="32"/>
        </w:rPr>
        <w:t>对评估工作进行及时总结。依据《自评报告》和《</w:t>
      </w:r>
      <w:r>
        <w:rPr>
          <w:rFonts w:hint="eastAsia" w:ascii="方正仿宋_GBK" w:hAnsi="方正仿宋_GBK" w:eastAsia="方正仿宋_GBK" w:cs="方正仿宋_GBK"/>
          <w:sz w:val="32"/>
          <w:szCs w:val="32"/>
        </w:rPr>
        <w:t>审核评估报告》</w:t>
      </w:r>
      <w:r>
        <w:rPr>
          <w:rFonts w:hint="eastAsia" w:ascii="方正仿宋_GBK" w:hAnsi="方正仿宋_GBK" w:eastAsia="方正仿宋_GBK" w:cs="方正仿宋_GBK"/>
          <w:spacing w:val="-3"/>
          <w:sz w:val="32"/>
          <w:szCs w:val="32"/>
        </w:rPr>
        <w:t>（</w:t>
      </w:r>
      <w:r>
        <w:rPr>
          <w:rFonts w:hint="eastAsia" w:ascii="方正仿宋_GBK" w:hAnsi="方正仿宋_GBK" w:eastAsia="方正仿宋_GBK" w:cs="方正仿宋_GBK"/>
          <w:spacing w:val="-2"/>
          <w:sz w:val="32"/>
          <w:szCs w:val="32"/>
        </w:rPr>
        <w:t>含问题清单</w:t>
      </w:r>
      <w:r>
        <w:rPr>
          <w:rFonts w:hint="eastAsia" w:ascii="方正仿宋_GBK" w:hAnsi="方正仿宋_GBK" w:eastAsia="方正仿宋_GBK" w:cs="方正仿宋_GBK"/>
          <w:spacing w:val="-94"/>
          <w:sz w:val="32"/>
          <w:szCs w:val="32"/>
        </w:rPr>
        <w:t>）</w:t>
      </w:r>
      <w:r>
        <w:rPr>
          <w:rFonts w:hint="eastAsia" w:ascii="方正仿宋_GBK" w:hAnsi="方正仿宋_GBK" w:eastAsia="方正仿宋_GBK" w:cs="方正仿宋_GBK"/>
          <w:spacing w:val="-12"/>
          <w:sz w:val="32"/>
          <w:szCs w:val="32"/>
        </w:rPr>
        <w:t>，逐项认真梳理研究专家提出的问题以及自评自</w:t>
      </w:r>
      <w:r>
        <w:rPr>
          <w:rFonts w:hint="eastAsia" w:ascii="方正仿宋_GBK" w:hAnsi="方正仿宋_GBK" w:eastAsia="方正仿宋_GBK" w:cs="方正仿宋_GBK"/>
          <w:spacing w:val="-13"/>
          <w:sz w:val="32"/>
          <w:szCs w:val="32"/>
        </w:rPr>
        <w:t>建查摆的问题，深入分析问题是什么？问题表现在哪里？从而建立问</w:t>
      </w:r>
      <w:r>
        <w:rPr>
          <w:rFonts w:hint="eastAsia" w:ascii="方正仿宋_GBK" w:hAnsi="方正仿宋_GBK" w:eastAsia="方正仿宋_GBK" w:cs="方正仿宋_GBK"/>
          <w:spacing w:val="-12"/>
          <w:sz w:val="32"/>
          <w:szCs w:val="32"/>
        </w:rPr>
        <w:t>题整改台账。学校认为《审核评估报告》（问题清单）中所提出的问题，存在与学校实际情况或办学理念不相符合的，可以不纳入整改问题清单，但应书面说明相应理由。</w:t>
      </w:r>
    </w:p>
    <w:p>
      <w:pPr>
        <w:pStyle w:val="2"/>
        <w:spacing w:line="560" w:lineRule="exact"/>
        <w:ind w:firstLine="60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10"/>
          <w:sz w:val="32"/>
          <w:szCs w:val="32"/>
        </w:rPr>
        <w:t>第二，深刻分析产生这些问题的原因。</w:t>
      </w:r>
      <w:r>
        <w:rPr>
          <w:rFonts w:hint="eastAsia" w:ascii="方正仿宋_GBK" w:hAnsi="方正仿宋_GBK" w:eastAsia="方正仿宋_GBK" w:cs="方正仿宋_GBK"/>
          <w:sz w:val="32"/>
          <w:szCs w:val="32"/>
        </w:rPr>
        <w:t>以问题为导向，</w:t>
      </w:r>
      <w:r>
        <w:rPr>
          <w:rFonts w:hint="eastAsia" w:ascii="方正仿宋_GBK" w:hAnsi="方正仿宋_GBK" w:eastAsia="方正仿宋_GBK" w:cs="方正仿宋_GBK"/>
          <w:spacing w:val="-10"/>
          <w:sz w:val="32"/>
          <w:szCs w:val="32"/>
        </w:rPr>
        <w:t>包括主观认识上、组织方</w:t>
      </w:r>
      <w:r>
        <w:rPr>
          <w:rFonts w:hint="eastAsia" w:ascii="方正仿宋_GBK" w:hAnsi="方正仿宋_GBK" w:eastAsia="方正仿宋_GBK" w:cs="方正仿宋_GBK"/>
          <w:spacing w:val="-12"/>
          <w:sz w:val="32"/>
          <w:szCs w:val="32"/>
        </w:rPr>
        <w:t>式上、责任落实上、客观条件上、资源配置上、政策限制上等等，</w:t>
      </w:r>
      <w:r>
        <w:rPr>
          <w:rFonts w:hint="eastAsia" w:ascii="方正仿宋_GBK" w:hAnsi="方正仿宋_GBK" w:eastAsia="方正仿宋_GBK" w:cs="方正仿宋_GBK"/>
          <w:sz w:val="32"/>
          <w:szCs w:val="32"/>
        </w:rPr>
        <w:t>依据《自评报告》和《审核评估报告》（含问题清单），全面排查本科教育教学薄弱环节及存在问题，</w:t>
      </w:r>
      <w:r>
        <w:rPr>
          <w:rFonts w:hint="eastAsia" w:ascii="方正仿宋_GBK" w:hAnsi="方正仿宋_GBK" w:eastAsia="方正仿宋_GBK" w:cs="方正仿宋_GBK"/>
          <w:spacing w:val="-12"/>
          <w:sz w:val="32"/>
          <w:szCs w:val="32"/>
        </w:rPr>
        <w:t>提</w:t>
      </w:r>
      <w:r>
        <w:rPr>
          <w:rFonts w:hint="eastAsia" w:ascii="方正仿宋_GBK" w:hAnsi="方正仿宋_GBK" w:eastAsia="方正仿宋_GBK" w:cs="方正仿宋_GBK"/>
          <w:spacing w:val="-13"/>
          <w:sz w:val="32"/>
          <w:szCs w:val="32"/>
        </w:rPr>
        <w:t>出针对性解决问题的举措，包括拟深入调研分析及拟采用的方法，拟</w:t>
      </w:r>
      <w:r>
        <w:rPr>
          <w:rFonts w:hint="eastAsia" w:ascii="方正仿宋_GBK" w:hAnsi="方正仿宋_GBK" w:eastAsia="方正仿宋_GBK" w:cs="方正仿宋_GBK"/>
          <w:spacing w:val="-22"/>
          <w:sz w:val="32"/>
          <w:szCs w:val="32"/>
        </w:rPr>
        <w:t>建立或施行的政策、制度、标准、项目，拟调整或建立的机构、专业、</w:t>
      </w:r>
      <w:r>
        <w:rPr>
          <w:rFonts w:hint="eastAsia" w:ascii="方正仿宋_GBK" w:hAnsi="方正仿宋_GBK" w:eastAsia="方正仿宋_GBK" w:cs="方正仿宋_GBK"/>
          <w:spacing w:val="-18"/>
          <w:sz w:val="32"/>
          <w:szCs w:val="32"/>
        </w:rPr>
        <w:t>课程或教学环节、流程，拟投入的人力资源、资金、设备、场地等，</w:t>
      </w:r>
      <w:r>
        <w:rPr>
          <w:rFonts w:hint="eastAsia" w:ascii="方正仿宋_GBK" w:hAnsi="方正仿宋_GBK" w:eastAsia="方正仿宋_GBK" w:cs="方正仿宋_GBK"/>
          <w:spacing w:val="-8"/>
          <w:sz w:val="32"/>
          <w:szCs w:val="32"/>
        </w:rPr>
        <w:t>并在全校形成共识。</w:t>
      </w:r>
    </w:p>
    <w:p>
      <w:pPr>
        <w:pStyle w:val="2"/>
        <w:spacing w:line="560" w:lineRule="exact"/>
        <w:ind w:firstLine="58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15"/>
          <w:sz w:val="32"/>
          <w:szCs w:val="32"/>
        </w:rPr>
        <w:t>第三，</w:t>
      </w:r>
      <w:r>
        <w:rPr>
          <w:rFonts w:hint="eastAsia" w:ascii="方正仿宋_GBK" w:hAnsi="方正仿宋_GBK" w:eastAsia="方正仿宋_GBK" w:cs="方正仿宋_GBK"/>
          <w:sz w:val="32"/>
          <w:szCs w:val="32"/>
        </w:rPr>
        <w:t>参评学校应在评估结论反馈</w:t>
      </w:r>
      <w:r>
        <w:rPr>
          <w:rFonts w:ascii="方正仿宋_GBK" w:hAnsi="方正仿宋_GBK" w:eastAsia="方正仿宋_GBK" w:cs="方正仿宋_GBK"/>
          <w:sz w:val="32"/>
          <w:szCs w:val="32"/>
        </w:rPr>
        <w:t>30</w:t>
      </w:r>
      <w:r>
        <w:rPr>
          <w:rFonts w:hint="eastAsia" w:ascii="方正仿宋_GBK" w:hAnsi="方正仿宋_GBK" w:eastAsia="方正仿宋_GBK" w:cs="方正仿宋_GBK"/>
          <w:sz w:val="32"/>
          <w:szCs w:val="32"/>
        </w:rPr>
        <w:t>日内，制定并向安徽省教育厅提交《整改方案》。《整改方案》要以问题清单为主线，以整改措施为重点。《整改方案》中应包含整改问题台账、整改任</w:t>
      </w:r>
      <w:r>
        <w:rPr>
          <w:rFonts w:hint="eastAsia" w:ascii="方正仿宋_GBK" w:hAnsi="方正仿宋_GBK" w:eastAsia="方正仿宋_GBK" w:cs="方正仿宋_GBK"/>
          <w:spacing w:val="-17"/>
          <w:sz w:val="32"/>
          <w:szCs w:val="32"/>
        </w:rPr>
        <w:t>务分解、整改措施、整改时间表以及整改</w:t>
      </w:r>
      <w:r>
        <w:rPr>
          <w:rFonts w:hint="eastAsia" w:ascii="方正仿宋_GBK" w:hAnsi="方正仿宋_GBK" w:eastAsia="方正仿宋_GBK" w:cs="方正仿宋_GBK"/>
          <w:spacing w:val="-15"/>
          <w:sz w:val="32"/>
          <w:szCs w:val="32"/>
        </w:rPr>
        <w:t>预期目标和成效。分解整改任务时，要明确该问题整改的校内责任单</w:t>
      </w:r>
      <w:r>
        <w:rPr>
          <w:rFonts w:hint="eastAsia" w:ascii="方正仿宋_GBK" w:hAnsi="方正仿宋_GBK" w:eastAsia="方正仿宋_GBK" w:cs="方正仿宋_GBK"/>
          <w:spacing w:val="-19"/>
          <w:sz w:val="32"/>
          <w:szCs w:val="32"/>
        </w:rPr>
        <w:t>位和主要责任人，当牵涉多个单位时，应明确牵头单位和牵头负责人、</w:t>
      </w:r>
      <w:r>
        <w:rPr>
          <w:rFonts w:hint="eastAsia" w:ascii="方正仿宋_GBK" w:hAnsi="方正仿宋_GBK" w:eastAsia="方正仿宋_GBK" w:cs="方正仿宋_GBK"/>
          <w:spacing w:val="-13"/>
          <w:sz w:val="32"/>
          <w:szCs w:val="32"/>
        </w:rPr>
        <w:t>参与单位和责任人，明确各单位的主要分工任务；当问题分解为若干</w:t>
      </w:r>
      <w:r>
        <w:rPr>
          <w:rFonts w:hint="eastAsia" w:ascii="方正仿宋_GBK" w:hAnsi="方正仿宋_GBK" w:eastAsia="方正仿宋_GBK" w:cs="方正仿宋_GBK"/>
          <w:spacing w:val="-14"/>
          <w:sz w:val="32"/>
          <w:szCs w:val="32"/>
        </w:rPr>
        <w:t>子问题时，可依子问题分解责任单位和主要责任人；整改时间表，包</w:t>
      </w:r>
      <w:r>
        <w:rPr>
          <w:rFonts w:hint="eastAsia" w:ascii="方正仿宋_GBK" w:hAnsi="方正仿宋_GBK" w:eastAsia="方正仿宋_GBK" w:cs="方正仿宋_GBK"/>
          <w:spacing w:val="-10"/>
          <w:sz w:val="32"/>
          <w:szCs w:val="32"/>
        </w:rPr>
        <w:t>括分阶段整改时间安排，要有明确的年度或月份，整改时间原则上为</w:t>
      </w:r>
      <w:r>
        <w:rPr>
          <w:rFonts w:hint="eastAsia" w:ascii="方正仿宋_GBK" w:hAnsi="方正仿宋_GBK" w:eastAsia="方正仿宋_GBK" w:cs="方正仿宋_GBK"/>
          <w:spacing w:val="-18"/>
          <w:sz w:val="32"/>
          <w:szCs w:val="32"/>
        </w:rPr>
        <w:t>两年；整改预期目标和成效，是采取整改措施后问题的预期改进程度、可能取得的成效，改进程度和可能取得的成效等，应可以衡量、检验，</w:t>
      </w:r>
      <w:r>
        <w:rPr>
          <w:rFonts w:hint="eastAsia" w:ascii="方正仿宋_GBK" w:hAnsi="方正仿宋_GBK" w:eastAsia="方正仿宋_GBK" w:cs="方正仿宋_GBK"/>
          <w:spacing w:val="-19"/>
          <w:sz w:val="32"/>
          <w:szCs w:val="32"/>
        </w:rPr>
        <w:t>建议提出可具体度量的指标。《整改方案》撰写指导详见附件</w:t>
      </w:r>
      <w:r>
        <w:rPr>
          <w:rFonts w:ascii="方正仿宋_GBK" w:hAnsi="方正仿宋_GBK" w:eastAsia="方正仿宋_GBK" w:cs="方正仿宋_GBK"/>
          <w:sz w:val="32"/>
          <w:szCs w:val="32"/>
        </w:rPr>
        <w:t>4</w:t>
      </w:r>
      <w:r>
        <w:rPr>
          <w:rFonts w:hint="eastAsia" w:ascii="方正仿宋_GBK" w:hAnsi="方正仿宋_GBK" w:eastAsia="方正仿宋_GBK" w:cs="方正仿宋_GBK"/>
          <w:sz w:val="32"/>
          <w:szCs w:val="32"/>
        </w:rPr>
        <w:t>。</w:t>
      </w:r>
    </w:p>
    <w:p>
      <w:pPr>
        <w:pStyle w:val="6"/>
        <w:spacing w:line="560" w:lineRule="exact"/>
        <w:ind w:firstLine="608" w:firstLineChars="200"/>
        <w:rPr>
          <w:rFonts w:ascii="方正仿宋_GBK" w:hAnsi="方正仿宋_GBK" w:eastAsia="方正仿宋_GBK" w:cs="方正仿宋_GBK"/>
          <w:b w:val="0"/>
          <w:bCs w:val="0"/>
          <w:w w:val="95"/>
        </w:rPr>
      </w:pPr>
      <w:bookmarkStart w:id="26" w:name="_Toc124775248"/>
      <w:r>
        <w:rPr>
          <w:rFonts w:ascii="方正仿宋_GBK" w:hAnsi="方正仿宋_GBK" w:eastAsia="方正仿宋_GBK" w:cs="方正仿宋_GBK"/>
          <w:w w:val="95"/>
        </w:rPr>
        <w:t>7.2</w:t>
      </w:r>
      <w:r>
        <w:rPr>
          <w:rFonts w:hint="eastAsia" w:ascii="方正仿宋_GBK" w:hAnsi="方正仿宋_GBK" w:eastAsia="方正仿宋_GBK" w:cs="方正仿宋_GBK"/>
          <w:w w:val="95"/>
        </w:rPr>
        <w:t>建立机制，落实整改工作任务</w:t>
      </w:r>
      <w:bookmarkEnd w:id="26"/>
    </w:p>
    <w:p>
      <w:pPr>
        <w:pStyle w:val="2"/>
        <w:spacing w:line="560" w:lineRule="exact"/>
        <w:ind w:firstLine="616"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6"/>
          <w:sz w:val="32"/>
          <w:szCs w:val="32"/>
        </w:rPr>
        <w:t>为有效落实整改工作任务，扎实做好审核评估“后半篇文章”，</w:t>
      </w:r>
      <w:r>
        <w:rPr>
          <w:rFonts w:hint="eastAsia" w:ascii="方正仿宋_GBK" w:hAnsi="方正仿宋_GBK" w:eastAsia="方正仿宋_GBK" w:cs="方正仿宋_GBK"/>
          <w:spacing w:val="-11"/>
          <w:sz w:val="32"/>
          <w:szCs w:val="32"/>
        </w:rPr>
        <w:t>学校应建立评估整改工作组织机构，成立由学校主要领导担任组长的</w:t>
      </w:r>
      <w:r>
        <w:rPr>
          <w:rFonts w:hint="eastAsia" w:ascii="方正仿宋_GBK" w:hAnsi="方正仿宋_GBK" w:eastAsia="方正仿宋_GBK" w:cs="方正仿宋_GBK"/>
          <w:spacing w:val="-23"/>
          <w:sz w:val="32"/>
          <w:szCs w:val="32"/>
        </w:rPr>
        <w:t>整改工作领导小组，依据学校《本科教育教学工作审核评估整改方案》，</w:t>
      </w:r>
      <w:r>
        <w:rPr>
          <w:rFonts w:hint="eastAsia" w:ascii="方正仿宋_GBK" w:hAnsi="方正仿宋_GBK" w:eastAsia="方正仿宋_GBK" w:cs="方正仿宋_GBK"/>
          <w:spacing w:val="-15"/>
          <w:sz w:val="32"/>
          <w:szCs w:val="32"/>
        </w:rPr>
        <w:t>全面部署，组织学校相关职能部门和学院，针对问题台账，建立整改</w:t>
      </w:r>
      <w:r>
        <w:rPr>
          <w:rFonts w:hint="eastAsia" w:ascii="方正仿宋_GBK" w:hAnsi="方正仿宋_GBK" w:eastAsia="方正仿宋_GBK" w:cs="方正仿宋_GBK"/>
          <w:spacing w:val="-25"/>
          <w:sz w:val="32"/>
          <w:szCs w:val="32"/>
        </w:rPr>
        <w:t>工作机制，全面开展整改。整改工作要以问题为导向，重在制度建设，</w:t>
      </w:r>
      <w:r>
        <w:rPr>
          <w:rFonts w:hint="eastAsia" w:ascii="方正仿宋_GBK" w:hAnsi="方正仿宋_GBK" w:eastAsia="方正仿宋_GBK" w:cs="方正仿宋_GBK"/>
          <w:spacing w:val="-15"/>
          <w:sz w:val="32"/>
          <w:szCs w:val="32"/>
        </w:rPr>
        <w:t>重在长效机制建立，重在人才培养质量保障体系构建；整改工作要扎</w:t>
      </w:r>
      <w:r>
        <w:rPr>
          <w:rFonts w:hint="eastAsia" w:ascii="方正仿宋_GBK" w:hAnsi="方正仿宋_GBK" w:eastAsia="方正仿宋_GBK" w:cs="方正仿宋_GBK"/>
          <w:spacing w:val="-8"/>
          <w:sz w:val="32"/>
          <w:szCs w:val="32"/>
        </w:rPr>
        <w:t>扎实实真改，不能书面整改、虚假整改。</w:t>
      </w:r>
    </w:p>
    <w:p>
      <w:pPr>
        <w:pStyle w:val="2"/>
        <w:spacing w:line="560" w:lineRule="exact"/>
        <w:ind w:firstLine="60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10"/>
          <w:sz w:val="32"/>
          <w:szCs w:val="32"/>
        </w:rPr>
        <w:t>学校要实行督查督办和问责制度。整改工作领导小组要定期听取</w:t>
      </w:r>
      <w:r>
        <w:rPr>
          <w:rFonts w:hint="eastAsia" w:ascii="方正仿宋_GBK" w:hAnsi="方正仿宋_GBK" w:eastAsia="方正仿宋_GBK" w:cs="方正仿宋_GBK"/>
          <w:spacing w:val="-13"/>
          <w:sz w:val="32"/>
          <w:szCs w:val="32"/>
        </w:rPr>
        <w:t>评估整改工作进展情况汇报，进行评估整改工作督查。持续追踪整改</w:t>
      </w:r>
      <w:r>
        <w:rPr>
          <w:rFonts w:hint="eastAsia" w:ascii="方正仿宋_GBK" w:hAnsi="方正仿宋_GBK" w:eastAsia="方正仿宋_GBK" w:cs="方正仿宋_GBK"/>
          <w:spacing w:val="-19"/>
          <w:sz w:val="32"/>
          <w:szCs w:val="32"/>
        </w:rPr>
        <w:t>进展，确保整改取得实效。对于不能很好地履行评估整改职责的干部，</w:t>
      </w:r>
      <w:r>
        <w:rPr>
          <w:rFonts w:hint="eastAsia" w:ascii="方正仿宋_GBK" w:hAnsi="方正仿宋_GBK" w:eastAsia="方正仿宋_GBK" w:cs="方正仿宋_GBK"/>
          <w:spacing w:val="-10"/>
          <w:sz w:val="32"/>
          <w:szCs w:val="32"/>
        </w:rPr>
        <w:t>要追责问责。</w:t>
      </w:r>
    </w:p>
    <w:p>
      <w:pPr>
        <w:pStyle w:val="6"/>
        <w:spacing w:line="560" w:lineRule="exact"/>
        <w:ind w:firstLine="608" w:firstLineChars="200"/>
        <w:rPr>
          <w:rFonts w:ascii="方正仿宋_GBK" w:hAnsi="方正仿宋_GBK" w:eastAsia="方正仿宋_GBK" w:cs="方正仿宋_GBK"/>
          <w:b w:val="0"/>
          <w:bCs w:val="0"/>
          <w:w w:val="95"/>
        </w:rPr>
      </w:pPr>
      <w:bookmarkStart w:id="27" w:name="_Toc124775249"/>
      <w:r>
        <w:rPr>
          <w:rFonts w:ascii="方正仿宋_GBK" w:hAnsi="方正仿宋_GBK" w:eastAsia="方正仿宋_GBK" w:cs="方正仿宋_GBK"/>
          <w:w w:val="95"/>
        </w:rPr>
        <w:t>7.3</w:t>
      </w:r>
      <w:r>
        <w:rPr>
          <w:rFonts w:hint="eastAsia" w:ascii="方正仿宋_GBK" w:hAnsi="方正仿宋_GBK" w:eastAsia="方正仿宋_GBK" w:cs="方正仿宋_GBK"/>
          <w:w w:val="95"/>
        </w:rPr>
        <w:t>认真总结，撰写整改报告</w:t>
      </w:r>
      <w:bookmarkEnd w:id="27"/>
    </w:p>
    <w:p>
      <w:pPr>
        <w:pStyle w:val="2"/>
        <w:spacing w:line="560" w:lineRule="exact"/>
        <w:ind w:firstLine="596"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pacing w:val="-11"/>
          <w:sz w:val="32"/>
          <w:szCs w:val="32"/>
        </w:rPr>
        <w:t>高校整改工作完成后，应及时认真总结。</w:t>
      </w:r>
      <w:r>
        <w:rPr>
          <w:rFonts w:hint="eastAsia" w:ascii="方正仿宋_GBK" w:hAnsi="方正仿宋_GBK" w:eastAsia="方正仿宋_GBK" w:cs="方正仿宋_GBK"/>
          <w:spacing w:val="-15"/>
          <w:sz w:val="32"/>
          <w:szCs w:val="32"/>
        </w:rPr>
        <w:t>原则上，高校要在两年内完成整改任务并提交《整改报告》</w:t>
      </w:r>
      <w:r>
        <w:rPr>
          <w:rFonts w:hint="eastAsia" w:ascii="方正仿宋_GBK" w:hAnsi="方正仿宋_GBK" w:eastAsia="方正仿宋_GBK" w:cs="方正仿宋_GBK"/>
          <w:spacing w:val="-58"/>
          <w:sz w:val="32"/>
          <w:szCs w:val="32"/>
        </w:rPr>
        <w:t>。</w:t>
      </w:r>
      <w:r>
        <w:rPr>
          <w:rFonts w:hint="eastAsia" w:ascii="方正仿宋_GBK" w:hAnsi="方正仿宋_GBK" w:eastAsia="方正仿宋_GBK" w:cs="方正仿宋_GBK"/>
          <w:sz w:val="32"/>
          <w:szCs w:val="32"/>
        </w:rPr>
        <w:t>《整改报告》的撰写应建立在全面总结评估整改工作完成情况的基础上，</w:t>
      </w:r>
      <w:r>
        <w:rPr>
          <w:rFonts w:hint="eastAsia" w:ascii="方正仿宋_GBK" w:hAnsi="方正仿宋_GBK" w:eastAsia="方正仿宋_GBK" w:cs="方正仿宋_GBK"/>
          <w:spacing w:val="-18"/>
          <w:sz w:val="32"/>
          <w:szCs w:val="32"/>
        </w:rPr>
        <w:t>包括整改工作的组织、主要整改措施、整改目标达成、整改成效评价</w:t>
      </w:r>
      <w:r>
        <w:rPr>
          <w:rFonts w:hint="eastAsia" w:ascii="方正仿宋_GBK" w:hAnsi="方正仿宋_GBK" w:eastAsia="方正仿宋_GBK" w:cs="方正仿宋_GBK"/>
          <w:spacing w:val="-13"/>
          <w:sz w:val="32"/>
          <w:szCs w:val="32"/>
        </w:rPr>
        <w:t>以及整改工作取得的经验。总结要系统、全面、实事求是，针对需要</w:t>
      </w:r>
      <w:r>
        <w:rPr>
          <w:rFonts w:hint="eastAsia" w:ascii="方正仿宋_GBK" w:hAnsi="方正仿宋_GBK" w:eastAsia="方正仿宋_GBK" w:cs="方正仿宋_GBK"/>
          <w:spacing w:val="-15"/>
          <w:sz w:val="32"/>
          <w:szCs w:val="32"/>
        </w:rPr>
        <w:t>整改的问题清单，逐项分析整改情况，包含整改前后核心数据对比</w:t>
      </w:r>
      <w:r>
        <w:rPr>
          <w:rFonts w:hint="eastAsia" w:ascii="方正仿宋_GBK" w:hAnsi="方正仿宋_GBK" w:eastAsia="方正仿宋_GBK" w:cs="方正仿宋_GBK"/>
          <w:spacing w:val="-86"/>
          <w:sz w:val="32"/>
          <w:szCs w:val="32"/>
        </w:rPr>
        <w:t>。</w:t>
      </w:r>
      <w:r>
        <w:rPr>
          <w:rFonts w:hint="eastAsia" w:ascii="方正仿宋_GBK" w:hAnsi="方正仿宋_GBK" w:eastAsia="方正仿宋_GBK" w:cs="方正仿宋_GBK"/>
          <w:sz w:val="32"/>
          <w:szCs w:val="32"/>
        </w:rPr>
        <w:t>《整改报告》撰写指导见附件</w:t>
      </w:r>
      <w:r>
        <w:rPr>
          <w:rFonts w:ascii="方正仿宋_GBK" w:hAnsi="方正仿宋_GBK" w:eastAsia="方正仿宋_GBK" w:cs="方正仿宋_GBK"/>
          <w:sz w:val="32"/>
          <w:szCs w:val="32"/>
        </w:rPr>
        <w:t>6</w:t>
      </w:r>
      <w:r>
        <w:rPr>
          <w:rFonts w:hint="eastAsia" w:ascii="方正仿宋_GBK" w:hAnsi="方正仿宋_GBK" w:eastAsia="方正仿宋_GBK" w:cs="方正仿宋_GBK"/>
          <w:sz w:val="32"/>
          <w:szCs w:val="32"/>
        </w:rPr>
        <w:t>。</w:t>
      </w:r>
    </w:p>
    <w:p>
      <w:pPr>
        <w:pStyle w:val="2"/>
        <w:spacing w:line="560" w:lineRule="exact"/>
        <w:ind w:firstLine="612" w:firstLineChars="200"/>
        <w:jc w:val="both"/>
        <w:rPr>
          <w:rFonts w:ascii="宋体" w:hAnsi="宋体" w:eastAsia="宋体"/>
          <w:spacing w:val="-6"/>
        </w:rPr>
      </w:pPr>
      <w:r>
        <w:rPr>
          <w:rFonts w:hint="eastAsia" w:ascii="方正仿宋_GBK" w:hAnsi="方正仿宋_GBK" w:eastAsia="方正仿宋_GBK" w:cs="方正仿宋_GBK"/>
          <w:spacing w:val="-7"/>
          <w:sz w:val="32"/>
          <w:szCs w:val="32"/>
        </w:rPr>
        <w:t>安徽省教育厅将以随机抽取的方式，对</w:t>
      </w:r>
      <w:r>
        <w:rPr>
          <w:rFonts w:hint="eastAsia" w:ascii="方正仿宋_GBK" w:hAnsi="方正仿宋_GBK" w:eastAsia="方正仿宋_GBK" w:cs="方正仿宋_GBK"/>
          <w:spacing w:val="-10"/>
          <w:sz w:val="32"/>
          <w:szCs w:val="32"/>
        </w:rPr>
        <w:t>高校整改情况和关键办学指标进行督导复查。对于评估整改落实不力、</w:t>
      </w:r>
      <w:r>
        <w:rPr>
          <w:rFonts w:hint="eastAsia" w:ascii="方正仿宋_GBK" w:hAnsi="方正仿宋_GBK" w:eastAsia="方正仿宋_GBK" w:cs="方正仿宋_GBK"/>
          <w:spacing w:val="-12"/>
          <w:sz w:val="32"/>
          <w:szCs w:val="32"/>
        </w:rPr>
        <w:t>关键办学指标评估后下滑的高校，高校负责人要接受约谈。学校在招生计划分配、教育教学改革与建设项目申报、新增本科专业等方面将</w:t>
      </w:r>
      <w:r>
        <w:rPr>
          <w:rFonts w:hint="eastAsia" w:ascii="方正仿宋_GBK" w:hAnsi="方正仿宋_GBK" w:eastAsia="方正仿宋_GBK" w:cs="方正仿宋_GBK"/>
          <w:spacing w:val="-6"/>
          <w:sz w:val="32"/>
          <w:szCs w:val="32"/>
        </w:rPr>
        <w:t>受到限制。</w:t>
      </w:r>
    </w:p>
    <w:p>
      <w:pPr>
        <w:pStyle w:val="2"/>
        <w:spacing w:before="1" w:line="328" w:lineRule="auto"/>
        <w:ind w:firstLine="559"/>
        <w:sectPr>
          <w:footerReference r:id="rId3" w:type="default"/>
          <w:footerReference r:id="rId4" w:type="even"/>
          <w:pgSz w:w="11906" w:h="16838"/>
          <w:pgMar w:top="2041" w:right="1531" w:bottom="2041" w:left="1531" w:header="851" w:footer="1588" w:gutter="0"/>
          <w:cols w:space="720" w:num="1"/>
          <w:docGrid w:type="lines" w:linePitch="312" w:charSpace="0"/>
        </w:sectPr>
      </w:pPr>
    </w:p>
    <w:p>
      <w:pPr>
        <w:pStyle w:val="5"/>
        <w:spacing w:before="0"/>
        <w:rPr>
          <w:b w:val="0"/>
          <w:sz w:val="24"/>
          <w:szCs w:val="24"/>
        </w:rPr>
      </w:pPr>
      <w:bookmarkStart w:id="28" w:name="_Toc124775250"/>
      <w:r>
        <w:rPr>
          <w:rFonts w:hint="eastAsia" w:ascii="黑体" w:hAnsi="黑体" w:eastAsia="黑体"/>
          <w:b w:val="0"/>
          <w:sz w:val="24"/>
          <w:szCs w:val="24"/>
        </w:rPr>
        <w:t>附</w:t>
      </w:r>
      <w:r>
        <w:rPr>
          <w:rFonts w:hint="eastAsia"/>
          <w:b w:val="0"/>
          <w:sz w:val="24"/>
          <w:szCs w:val="24"/>
        </w:rPr>
        <w:t>件</w:t>
      </w:r>
      <w:r>
        <w:rPr>
          <w:rFonts w:ascii="黑体" w:hAnsi="黑体" w:eastAsia="黑体"/>
          <w:b w:val="0"/>
          <w:sz w:val="24"/>
          <w:szCs w:val="24"/>
        </w:rPr>
        <w:t>1</w:t>
      </w:r>
      <w:r>
        <w:rPr>
          <w:rFonts w:hint="eastAsia" w:ascii="黑体" w:hAnsi="黑体" w:eastAsia="黑体"/>
          <w:b w:val="0"/>
          <w:sz w:val="24"/>
          <w:szCs w:val="24"/>
        </w:rPr>
        <w:t>：普通高等学校本科教育教学审核评估申请报告</w:t>
      </w:r>
      <w:bookmarkEnd w:id="28"/>
    </w:p>
    <w:p>
      <w:pPr>
        <w:pStyle w:val="2"/>
        <w:spacing w:before="9"/>
        <w:rPr>
          <w:rFonts w:ascii="黑体"/>
          <w:sz w:val="17"/>
        </w:rPr>
      </w:pPr>
    </w:p>
    <w:p>
      <w:pPr>
        <w:spacing w:before="42" w:line="276" w:lineRule="auto"/>
        <w:ind w:left="2245" w:hanging="2245"/>
        <w:jc w:val="center"/>
        <w:rPr>
          <w:rFonts w:ascii="华文中宋" w:eastAsia="华文中宋"/>
          <w:b/>
          <w:sz w:val="44"/>
        </w:rPr>
      </w:pPr>
      <w:r>
        <w:rPr>
          <w:rFonts w:hint="eastAsia" w:ascii="华文中宋" w:eastAsia="华文中宋"/>
          <w:b/>
          <w:w w:val="95"/>
          <w:sz w:val="44"/>
        </w:rPr>
        <w:t>普通高等学校本科教育教学审核评估</w:t>
      </w:r>
      <w:r>
        <w:rPr>
          <w:rFonts w:hint="eastAsia" w:ascii="华文中宋" w:eastAsia="华文中宋"/>
          <w:b/>
          <w:spacing w:val="5"/>
          <w:sz w:val="44"/>
        </w:rPr>
        <w:t>申请报告</w:t>
      </w:r>
    </w:p>
    <w:p>
      <w:pPr>
        <w:pStyle w:val="2"/>
        <w:rPr>
          <w:b/>
          <w:sz w:val="32"/>
        </w:rPr>
      </w:pPr>
    </w:p>
    <w:p>
      <w:pPr>
        <w:pStyle w:val="2"/>
        <w:rPr>
          <w:b/>
          <w:sz w:val="32"/>
        </w:rPr>
      </w:pPr>
    </w:p>
    <w:p>
      <w:pPr>
        <w:pStyle w:val="2"/>
        <w:rPr>
          <w:b/>
          <w:sz w:val="32"/>
        </w:rPr>
      </w:pPr>
    </w:p>
    <w:p>
      <w:pPr>
        <w:pStyle w:val="2"/>
        <w:rPr>
          <w:b/>
          <w:sz w:val="32"/>
        </w:rPr>
      </w:pPr>
    </w:p>
    <w:p>
      <w:pPr>
        <w:pStyle w:val="2"/>
        <w:rPr>
          <w:b/>
          <w:sz w:val="32"/>
        </w:rPr>
      </w:pPr>
    </w:p>
    <w:p>
      <w:pPr>
        <w:pStyle w:val="2"/>
        <w:rPr>
          <w:b/>
          <w:sz w:val="32"/>
        </w:rPr>
      </w:pPr>
    </w:p>
    <w:p>
      <w:pPr>
        <w:pStyle w:val="2"/>
        <w:spacing w:before="7"/>
        <w:rPr>
          <w:b/>
          <w:sz w:val="37"/>
        </w:rPr>
      </w:pPr>
    </w:p>
    <w:p>
      <w:pPr>
        <w:tabs>
          <w:tab w:val="left" w:pos="3003"/>
          <w:tab w:val="left" w:pos="4443"/>
        </w:tabs>
        <w:spacing w:line="535" w:lineRule="auto"/>
        <w:ind w:left="960" w:hanging="960"/>
        <w:rPr>
          <w:rFonts w:ascii="黑体" w:hAnsi="黑体" w:eastAsia="黑体"/>
          <w:spacing w:val="-17"/>
          <w:sz w:val="32"/>
        </w:rPr>
      </w:pPr>
      <w:r>
        <w:rPr>
          <w:rFonts w:hint="eastAsia" w:ascii="黑体" w:hAnsi="黑体" w:eastAsia="黑体"/>
          <w:sz w:val="32"/>
        </w:rPr>
        <w:t>评估方案：</w:t>
      </w:r>
      <w:r>
        <w:rPr>
          <w:rFonts w:ascii="黑体" w:hAnsi="黑体" w:eastAsia="黑体"/>
          <w:sz w:val="32"/>
        </w:rPr>
        <w:t>1</w:t>
      </w:r>
      <w:r>
        <w:rPr>
          <w:rFonts w:hint="eastAsia" w:ascii="黑体" w:hAnsi="黑体" w:eastAsia="黑体"/>
          <w:sz w:val="32"/>
        </w:rPr>
        <w:t>□</w:t>
      </w:r>
      <w:r>
        <w:rPr>
          <w:rFonts w:ascii="黑体" w:hAnsi="黑体" w:eastAsia="黑体"/>
          <w:sz w:val="32"/>
        </w:rPr>
        <w:tab/>
      </w:r>
      <w:r>
        <w:rPr>
          <w:rFonts w:ascii="黑体" w:hAnsi="黑体" w:eastAsia="黑体"/>
          <w:sz w:val="32"/>
        </w:rPr>
        <w:t>2</w:t>
      </w:r>
      <w:r>
        <w:rPr>
          <w:rFonts w:hint="eastAsia" w:ascii="黑体" w:hAnsi="黑体" w:eastAsia="黑体"/>
          <w:sz w:val="32"/>
        </w:rPr>
        <w:t>□</w:t>
      </w:r>
      <w:r>
        <w:rPr>
          <w:rFonts w:ascii="黑体" w:hAnsi="黑体" w:eastAsia="黑体"/>
          <w:sz w:val="32"/>
        </w:rPr>
        <w:tab/>
      </w:r>
      <w:r>
        <w:rPr>
          <w:rFonts w:ascii="黑体" w:hAnsi="黑体" w:eastAsia="黑体"/>
          <w:sz w:val="32"/>
        </w:rPr>
        <w:t>3</w:t>
      </w:r>
      <w:r>
        <w:rPr>
          <w:rFonts w:hint="eastAsia" w:ascii="黑体" w:hAnsi="黑体" w:eastAsia="黑体"/>
          <w:spacing w:val="-17"/>
          <w:sz w:val="32"/>
        </w:rPr>
        <w:t>□</w:t>
      </w:r>
    </w:p>
    <w:p>
      <w:pPr>
        <w:tabs>
          <w:tab w:val="left" w:pos="3003"/>
          <w:tab w:val="left" w:pos="4443"/>
        </w:tabs>
        <w:spacing w:line="535" w:lineRule="auto"/>
        <w:ind w:left="960" w:hanging="960"/>
        <w:rPr>
          <w:rFonts w:ascii="黑体" w:hAnsi="黑体" w:eastAsia="黑体"/>
          <w:sz w:val="32"/>
        </w:rPr>
      </w:pPr>
      <w:r>
        <w:rPr>
          <w:rFonts w:hint="eastAsia" w:ascii="黑体" w:hAnsi="黑体" w:eastAsia="黑体"/>
          <w:spacing w:val="2"/>
          <w:w w:val="99"/>
          <w:sz w:val="32"/>
        </w:rPr>
        <w:t>学</w:t>
      </w:r>
      <w:r>
        <w:rPr>
          <w:rFonts w:hint="eastAsia" w:ascii="黑体" w:hAnsi="黑体" w:eastAsia="黑体"/>
          <w:spacing w:val="1"/>
          <w:w w:val="97"/>
          <w:sz w:val="32"/>
        </w:rPr>
        <w:t>校名称（公章）</w:t>
      </w:r>
      <w:r>
        <w:rPr>
          <w:rFonts w:hint="eastAsia" w:ascii="黑体" w:hAnsi="黑体" w:eastAsia="黑体"/>
          <w:spacing w:val="6"/>
          <w:w w:val="97"/>
          <w:sz w:val="32"/>
        </w:rPr>
        <w:t>：</w:t>
      </w:r>
    </w:p>
    <w:p>
      <w:pPr>
        <w:spacing w:line="406" w:lineRule="exact"/>
        <w:rPr>
          <w:rFonts w:ascii="黑体" w:eastAsia="黑体"/>
          <w:sz w:val="32"/>
        </w:rPr>
      </w:pPr>
      <w:r>
        <w:rPr>
          <w:rFonts w:hint="eastAsia" w:ascii="黑体" w:eastAsia="黑体"/>
          <w:sz w:val="32"/>
        </w:rPr>
        <w:t>主管部门：</w:t>
      </w:r>
    </w:p>
    <w:p>
      <w:pPr>
        <w:pStyle w:val="2"/>
        <w:spacing w:before="2"/>
        <w:rPr>
          <w:rFonts w:ascii="黑体"/>
          <w:sz w:val="39"/>
        </w:rPr>
      </w:pPr>
    </w:p>
    <w:p>
      <w:pPr>
        <w:spacing w:line="535" w:lineRule="auto"/>
        <w:jc w:val="distribute"/>
        <w:rPr>
          <w:rFonts w:ascii="黑体" w:eastAsia="黑体"/>
          <w:spacing w:val="1"/>
          <w:sz w:val="32"/>
        </w:rPr>
      </w:pPr>
      <w:r>
        <w:rPr>
          <w:rFonts w:hint="eastAsia" w:ascii="黑体" w:eastAsia="黑体"/>
          <w:spacing w:val="22"/>
          <w:kern w:val="0"/>
          <w:sz w:val="32"/>
        </w:rPr>
        <w:t>校长（签字）</w:t>
      </w:r>
      <w:r>
        <w:rPr>
          <w:rFonts w:hint="eastAsia" w:ascii="黑体" w:eastAsia="黑体"/>
          <w:spacing w:val="1"/>
          <w:kern w:val="0"/>
          <w:sz w:val="32"/>
        </w:rPr>
        <w:t>：</w:t>
      </w:r>
    </w:p>
    <w:p>
      <w:pPr>
        <w:spacing w:line="535" w:lineRule="auto"/>
        <w:rPr>
          <w:rFonts w:ascii="黑体" w:eastAsia="黑体"/>
          <w:sz w:val="32"/>
        </w:rPr>
      </w:pPr>
      <w:r>
        <w:rPr>
          <w:rFonts w:hint="eastAsia" w:ascii="黑体" w:eastAsia="黑体"/>
          <w:sz w:val="32"/>
        </w:rPr>
        <w:t>申请日期：</w:t>
      </w:r>
    </w:p>
    <w:p>
      <w:pPr>
        <w:pStyle w:val="2"/>
        <w:rPr>
          <w:rFonts w:ascii="黑体"/>
          <w:sz w:val="32"/>
        </w:rPr>
      </w:pPr>
    </w:p>
    <w:p>
      <w:pPr>
        <w:pStyle w:val="2"/>
        <w:rPr>
          <w:rFonts w:ascii="黑体"/>
          <w:sz w:val="32"/>
        </w:rPr>
      </w:pPr>
    </w:p>
    <w:p>
      <w:pPr>
        <w:pStyle w:val="2"/>
        <w:spacing w:before="12"/>
        <w:rPr>
          <w:rFonts w:ascii="黑体"/>
          <w:sz w:val="26"/>
        </w:rPr>
      </w:pPr>
    </w:p>
    <w:p>
      <w:pPr>
        <w:spacing w:line="364" w:lineRule="auto"/>
        <w:ind w:hanging="642"/>
        <w:jc w:val="center"/>
        <w:rPr>
          <w:rFonts w:ascii="黑体" w:eastAsia="黑体"/>
          <w:sz w:val="32"/>
        </w:rPr>
      </w:pPr>
      <w:r>
        <w:rPr>
          <w:rFonts w:hint="eastAsia" w:ascii="黑体" w:eastAsia="黑体"/>
          <w:sz w:val="32"/>
        </w:rPr>
        <w:t>安徽省教育厅</w:t>
      </w:r>
    </w:p>
    <w:p>
      <w:pPr>
        <w:spacing w:line="364" w:lineRule="auto"/>
        <w:ind w:hanging="642"/>
        <w:jc w:val="center"/>
        <w:rPr>
          <w:rFonts w:ascii="黑体" w:eastAsia="黑体"/>
          <w:sz w:val="32"/>
        </w:rPr>
      </w:pPr>
      <w:r>
        <w:rPr>
          <w:rFonts w:hint="eastAsia" w:ascii="黑体" w:eastAsia="黑体"/>
          <w:sz w:val="32"/>
        </w:rPr>
        <w:t>二零二二年制</w:t>
      </w:r>
    </w:p>
    <w:p>
      <w:pPr>
        <w:spacing w:line="364" w:lineRule="auto"/>
        <w:rPr>
          <w:rFonts w:ascii="黑体" w:eastAsia="黑体"/>
          <w:sz w:val="32"/>
        </w:rPr>
        <w:sectPr>
          <w:pgSz w:w="11910" w:h="16840"/>
          <w:pgMar w:top="1580" w:right="1400" w:bottom="1380" w:left="1680" w:header="0" w:footer="1195" w:gutter="0"/>
          <w:cols w:space="720" w:num="1"/>
        </w:sectPr>
      </w:pPr>
    </w:p>
    <w:p>
      <w:pPr>
        <w:spacing w:before="27"/>
        <w:jc w:val="center"/>
        <w:rPr>
          <w:rFonts w:ascii="黑体" w:eastAsia="黑体"/>
          <w:sz w:val="32"/>
        </w:rPr>
      </w:pPr>
      <w:r>
        <w:rPr>
          <w:rFonts w:hint="eastAsia" w:ascii="黑体" w:eastAsia="黑体"/>
          <w:sz w:val="32"/>
        </w:rPr>
        <w:t>填报说明</w:t>
      </w:r>
    </w:p>
    <w:p>
      <w:pPr>
        <w:spacing w:before="257"/>
        <w:rPr>
          <w:rFonts w:ascii="黑体" w:eastAsia="黑体"/>
          <w:sz w:val="30"/>
        </w:rPr>
      </w:pPr>
      <w:r>
        <w:rPr>
          <w:rFonts w:hint="eastAsia" w:ascii="黑体" w:eastAsia="黑体"/>
          <w:sz w:val="30"/>
        </w:rPr>
        <w:t>一、封面</w:t>
      </w:r>
    </w:p>
    <w:p>
      <w:pPr>
        <w:pStyle w:val="170"/>
        <w:numPr>
          <w:ilvl w:val="0"/>
          <w:numId w:val="11"/>
        </w:numPr>
        <w:tabs>
          <w:tab w:val="left" w:pos="1023"/>
        </w:tabs>
        <w:spacing w:before="175" w:line="350" w:lineRule="auto"/>
        <w:ind w:left="0" w:firstLine="599"/>
        <w:rPr>
          <w:sz w:val="30"/>
          <w:lang w:eastAsia="zh-CN"/>
        </w:rPr>
      </w:pPr>
      <w:r>
        <w:rPr>
          <w:rFonts w:hint="eastAsia"/>
          <w:spacing w:val="-12"/>
          <w:sz w:val="30"/>
          <w:lang w:eastAsia="zh-CN"/>
        </w:rPr>
        <w:t>评估方案：高校根据自身实际情况，选择且只能选择审核</w:t>
      </w:r>
      <w:r>
        <w:rPr>
          <w:rFonts w:hint="eastAsia"/>
          <w:sz w:val="30"/>
          <w:lang w:eastAsia="zh-CN"/>
        </w:rPr>
        <w:t>评估规定方案中的其中一种。</w:t>
      </w:r>
    </w:p>
    <w:p>
      <w:pPr>
        <w:spacing w:line="348" w:lineRule="auto"/>
        <w:ind w:firstLine="599"/>
        <w:rPr>
          <w:sz w:val="30"/>
        </w:rPr>
      </w:pPr>
      <w:r>
        <w:rPr>
          <w:rFonts w:hint="eastAsia"/>
          <w:spacing w:val="-25"/>
          <w:sz w:val="30"/>
        </w:rPr>
        <w:t>方案</w:t>
      </w:r>
      <w:r>
        <w:rPr>
          <w:spacing w:val="-5"/>
          <w:sz w:val="30"/>
        </w:rPr>
        <w:t>1</w:t>
      </w:r>
      <w:r>
        <w:rPr>
          <w:rFonts w:hint="eastAsia"/>
          <w:spacing w:val="-4"/>
          <w:sz w:val="30"/>
        </w:rPr>
        <w:t>：适用于学术研究型高校，已参加过上轮审核评估，重点以学术型人才</w:t>
      </w:r>
      <w:r>
        <w:rPr>
          <w:rFonts w:hint="eastAsia"/>
          <w:sz w:val="30"/>
        </w:rPr>
        <w:t>培养为主要方向的普通本科高校；</w:t>
      </w:r>
    </w:p>
    <w:p>
      <w:pPr>
        <w:spacing w:before="5" w:line="348" w:lineRule="auto"/>
        <w:ind w:firstLine="599"/>
        <w:rPr>
          <w:sz w:val="30"/>
        </w:rPr>
      </w:pPr>
      <w:r>
        <w:rPr>
          <w:rFonts w:hint="eastAsia"/>
          <w:spacing w:val="-25"/>
          <w:sz w:val="30"/>
        </w:rPr>
        <w:t>方案</w:t>
      </w:r>
      <w:r>
        <w:rPr>
          <w:spacing w:val="-5"/>
          <w:sz w:val="30"/>
        </w:rPr>
        <w:t>2</w:t>
      </w:r>
      <w:r>
        <w:rPr>
          <w:rFonts w:hint="eastAsia"/>
          <w:spacing w:val="-4"/>
          <w:sz w:val="30"/>
        </w:rPr>
        <w:t>：适用于应用研究型高校，已参加过上轮审核评估，重点以应用型人才</w:t>
      </w:r>
      <w:r>
        <w:rPr>
          <w:rFonts w:hint="eastAsia"/>
          <w:sz w:val="30"/>
        </w:rPr>
        <w:t>培养为主要方向的普通本科高校；</w:t>
      </w:r>
    </w:p>
    <w:p>
      <w:pPr>
        <w:spacing w:before="4" w:line="350" w:lineRule="auto"/>
        <w:ind w:firstLine="599"/>
        <w:rPr>
          <w:sz w:val="30"/>
        </w:rPr>
      </w:pPr>
      <w:r>
        <w:rPr>
          <w:rFonts w:hint="eastAsia"/>
          <w:spacing w:val="-26"/>
          <w:sz w:val="30"/>
        </w:rPr>
        <w:t>方案</w:t>
      </w:r>
      <w:r>
        <w:rPr>
          <w:spacing w:val="-5"/>
          <w:sz w:val="30"/>
        </w:rPr>
        <w:t>3</w:t>
      </w:r>
      <w:r>
        <w:rPr>
          <w:rFonts w:hint="eastAsia"/>
          <w:spacing w:val="-9"/>
          <w:sz w:val="30"/>
        </w:rPr>
        <w:t>：适用于应用技能型高校和已通过合格评估</w:t>
      </w:r>
      <w:r>
        <w:rPr>
          <w:sz w:val="30"/>
        </w:rPr>
        <w:t>5</w:t>
      </w:r>
      <w:r>
        <w:rPr>
          <w:rFonts w:hint="eastAsia"/>
          <w:spacing w:val="-11"/>
          <w:sz w:val="30"/>
        </w:rPr>
        <w:t>年以上，首次参加审核评</w:t>
      </w:r>
      <w:r>
        <w:rPr>
          <w:rFonts w:hint="eastAsia"/>
          <w:sz w:val="30"/>
        </w:rPr>
        <w:t>估、本科办学历史较短的地方应用型普通本科高校。</w:t>
      </w:r>
    </w:p>
    <w:p>
      <w:pPr>
        <w:pStyle w:val="170"/>
        <w:numPr>
          <w:ilvl w:val="0"/>
          <w:numId w:val="11"/>
        </w:numPr>
        <w:tabs>
          <w:tab w:val="left" w:pos="1023"/>
        </w:tabs>
        <w:spacing w:line="350" w:lineRule="auto"/>
        <w:ind w:left="0" w:firstLine="599"/>
        <w:jc w:val="both"/>
        <w:rPr>
          <w:sz w:val="30"/>
          <w:lang w:eastAsia="zh-CN"/>
        </w:rPr>
      </w:pPr>
      <w:r>
        <w:rPr>
          <w:rFonts w:hint="eastAsia"/>
          <w:spacing w:val="-12"/>
          <w:sz w:val="30"/>
          <w:lang w:eastAsia="zh-CN"/>
        </w:rPr>
        <w:t>学校名称：是申请评估学校的名称，按国家规定的设置标</w:t>
      </w:r>
      <w:r>
        <w:rPr>
          <w:rFonts w:hint="eastAsia"/>
          <w:spacing w:val="-10"/>
          <w:sz w:val="30"/>
          <w:lang w:eastAsia="zh-CN"/>
        </w:rPr>
        <w:t>准和审批程序批准成立，并在教育行政部门备案的实施高等教育</w:t>
      </w:r>
      <w:r>
        <w:rPr>
          <w:rFonts w:hint="eastAsia"/>
          <w:sz w:val="30"/>
          <w:lang w:eastAsia="zh-CN"/>
        </w:rPr>
        <w:t>的单位称谓，用全称。</w:t>
      </w:r>
    </w:p>
    <w:p>
      <w:pPr>
        <w:pStyle w:val="170"/>
        <w:numPr>
          <w:ilvl w:val="0"/>
          <w:numId w:val="11"/>
        </w:numPr>
        <w:tabs>
          <w:tab w:val="left" w:pos="1023"/>
        </w:tabs>
        <w:spacing w:line="348" w:lineRule="auto"/>
        <w:ind w:left="0" w:firstLine="599"/>
        <w:rPr>
          <w:sz w:val="30"/>
          <w:lang w:eastAsia="zh-CN"/>
        </w:rPr>
      </w:pPr>
      <w:r>
        <w:rPr>
          <w:rFonts w:hint="eastAsia"/>
          <w:spacing w:val="-7"/>
          <w:sz w:val="30"/>
          <w:lang w:eastAsia="zh-CN"/>
        </w:rPr>
        <w:t>主管部门：安徽省</w:t>
      </w:r>
      <w:r>
        <w:rPr>
          <w:rFonts w:hint="eastAsia"/>
          <w:sz w:val="30"/>
          <w:lang w:eastAsia="zh-CN"/>
        </w:rPr>
        <w:t>教育厅。</w:t>
      </w:r>
    </w:p>
    <w:p>
      <w:pPr>
        <w:pStyle w:val="170"/>
        <w:tabs>
          <w:tab w:val="left" w:pos="1023"/>
        </w:tabs>
        <w:spacing w:before="2"/>
        <w:ind w:left="0" w:firstLine="596" w:firstLineChars="200"/>
        <w:rPr>
          <w:sz w:val="30"/>
          <w:lang w:eastAsia="zh-CN"/>
        </w:rPr>
      </w:pPr>
      <w:r>
        <w:rPr>
          <w:spacing w:val="-1"/>
          <w:sz w:val="30"/>
          <w:lang w:eastAsia="zh-CN"/>
        </w:rPr>
        <w:t>4.</w:t>
      </w:r>
      <w:r>
        <w:rPr>
          <w:rFonts w:hint="eastAsia"/>
          <w:spacing w:val="-1"/>
          <w:sz w:val="30"/>
          <w:lang w:eastAsia="zh-CN"/>
        </w:rPr>
        <w:t>申请日期：指向主管部门提交申请报告的日期。</w:t>
      </w:r>
    </w:p>
    <w:p>
      <w:pPr>
        <w:spacing w:before="143"/>
        <w:rPr>
          <w:rFonts w:ascii="黑体" w:eastAsia="黑体"/>
          <w:sz w:val="30"/>
        </w:rPr>
      </w:pPr>
      <w:r>
        <w:rPr>
          <w:rFonts w:hint="eastAsia" w:ascii="黑体" w:eastAsia="黑体"/>
          <w:sz w:val="30"/>
        </w:rPr>
        <w:t>二、申请报告填写内容</w:t>
      </w:r>
    </w:p>
    <w:p>
      <w:pPr>
        <w:spacing w:before="240" w:line="388" w:lineRule="auto"/>
        <w:ind w:firstLine="599"/>
        <w:rPr>
          <w:sz w:val="30"/>
        </w:rPr>
      </w:pPr>
      <w:r>
        <w:rPr>
          <w:rFonts w:hint="eastAsia"/>
          <w:spacing w:val="-23"/>
          <w:sz w:val="30"/>
        </w:rPr>
        <w:t>办学地点：是申请学校所在地，需写明学校所在省</w:t>
      </w:r>
      <w:r>
        <w:rPr>
          <w:rFonts w:hint="eastAsia"/>
          <w:sz w:val="30"/>
        </w:rPr>
        <w:t>（</w:t>
      </w:r>
      <w:r>
        <w:rPr>
          <w:rFonts w:hint="eastAsia"/>
          <w:spacing w:val="-5"/>
          <w:sz w:val="30"/>
        </w:rPr>
        <w:t>直辖市、</w:t>
      </w:r>
      <w:r>
        <w:rPr>
          <w:rFonts w:hint="eastAsia"/>
          <w:spacing w:val="2"/>
          <w:sz w:val="30"/>
        </w:rPr>
        <w:t>自治区）</w:t>
      </w:r>
      <w:r>
        <w:rPr>
          <w:spacing w:val="3"/>
          <w:sz w:val="30"/>
        </w:rPr>
        <w:t>/</w:t>
      </w:r>
      <w:r>
        <w:rPr>
          <w:rFonts w:hint="eastAsia"/>
          <w:sz w:val="30"/>
        </w:rPr>
        <w:t>地</w:t>
      </w:r>
      <w:r>
        <w:rPr>
          <w:rFonts w:hint="eastAsia"/>
          <w:spacing w:val="2"/>
          <w:sz w:val="30"/>
        </w:rPr>
        <w:t>（</w:t>
      </w:r>
      <w:r>
        <w:rPr>
          <w:rFonts w:hint="eastAsia"/>
          <w:spacing w:val="1"/>
          <w:sz w:val="30"/>
        </w:rPr>
        <w:t>市、州</w:t>
      </w:r>
      <w:r>
        <w:rPr>
          <w:rFonts w:hint="eastAsia"/>
          <w:spacing w:val="3"/>
          <w:sz w:val="30"/>
        </w:rPr>
        <w:t>）</w:t>
      </w:r>
      <w:r>
        <w:rPr>
          <w:spacing w:val="3"/>
          <w:sz w:val="30"/>
        </w:rPr>
        <w:t>/</w:t>
      </w:r>
      <w:r>
        <w:rPr>
          <w:rFonts w:hint="eastAsia"/>
          <w:spacing w:val="2"/>
          <w:sz w:val="30"/>
        </w:rPr>
        <w:t>县</w:t>
      </w:r>
      <w:r>
        <w:rPr>
          <w:rFonts w:hint="eastAsia"/>
          <w:sz w:val="30"/>
        </w:rPr>
        <w:t>（</w:t>
      </w:r>
      <w:r>
        <w:rPr>
          <w:rFonts w:hint="eastAsia"/>
          <w:spacing w:val="1"/>
          <w:sz w:val="30"/>
        </w:rPr>
        <w:t>区、旗</w:t>
      </w:r>
      <w:r>
        <w:rPr>
          <w:rFonts w:hint="eastAsia"/>
          <w:spacing w:val="-149"/>
          <w:sz w:val="30"/>
        </w:rPr>
        <w:t>）</w:t>
      </w:r>
      <w:r>
        <w:rPr>
          <w:rFonts w:hint="eastAsia"/>
          <w:spacing w:val="-1"/>
          <w:sz w:val="30"/>
        </w:rPr>
        <w:t>；有异地办学的校区或者</w:t>
      </w:r>
      <w:r>
        <w:rPr>
          <w:rFonts w:hint="eastAsia"/>
          <w:sz w:val="30"/>
        </w:rPr>
        <w:t>同城多个校区的都要一一填写。</w:t>
      </w:r>
    </w:p>
    <w:p>
      <w:pPr>
        <w:spacing w:before="4"/>
        <w:rPr>
          <w:rFonts w:ascii="黑体" w:eastAsia="黑体"/>
          <w:sz w:val="30"/>
        </w:rPr>
      </w:pPr>
      <w:r>
        <w:rPr>
          <w:rFonts w:hint="eastAsia" w:ascii="黑体" w:eastAsia="黑体"/>
          <w:sz w:val="30"/>
        </w:rPr>
        <w:t>三、申请报告打印与装订要求</w:t>
      </w:r>
    </w:p>
    <w:p>
      <w:pPr>
        <w:pStyle w:val="2"/>
        <w:spacing w:before="2"/>
        <w:rPr>
          <w:rFonts w:ascii="黑体"/>
          <w:sz w:val="21"/>
        </w:rPr>
      </w:pPr>
    </w:p>
    <w:p>
      <w:pPr>
        <w:spacing w:line="348" w:lineRule="auto"/>
        <w:ind w:firstLine="599"/>
        <w:rPr>
          <w:sz w:val="30"/>
        </w:rPr>
      </w:pPr>
      <w:r>
        <w:rPr>
          <w:rFonts w:hint="eastAsia"/>
          <w:spacing w:val="-7"/>
          <w:sz w:val="30"/>
        </w:rPr>
        <w:t>本申请书须用</w:t>
      </w:r>
      <w:r>
        <w:rPr>
          <w:sz w:val="30"/>
        </w:rPr>
        <w:t>A4</w:t>
      </w:r>
      <w:r>
        <w:rPr>
          <w:rFonts w:hint="eastAsia"/>
          <w:spacing w:val="-8"/>
          <w:sz w:val="30"/>
        </w:rPr>
        <w:t>纸，双面打印。左侧装订成册。申请表格</w:t>
      </w:r>
      <w:r>
        <w:rPr>
          <w:rFonts w:hint="eastAsia"/>
          <w:sz w:val="30"/>
        </w:rPr>
        <w:t>式及内容须与样表一致。</w:t>
      </w:r>
    </w:p>
    <w:p>
      <w:pPr>
        <w:spacing w:line="348" w:lineRule="auto"/>
        <w:rPr>
          <w:sz w:val="30"/>
        </w:rPr>
        <w:sectPr>
          <w:pgSz w:w="11910" w:h="16840"/>
          <w:pgMar w:top="1500" w:right="1400" w:bottom="1380" w:left="1680" w:header="0" w:footer="1195" w:gutter="0"/>
          <w:cols w:space="720" w:num="1"/>
        </w:sectPr>
      </w:pPr>
    </w:p>
    <w:p>
      <w:pPr>
        <w:spacing w:before="39"/>
        <w:rPr>
          <w:rFonts w:ascii="黑体" w:eastAsia="黑体"/>
          <w:sz w:val="30"/>
        </w:rPr>
      </w:pPr>
      <w:r>
        <w:rPr>
          <w:rFonts w:hint="eastAsia" w:ascii="黑体" w:eastAsia="黑体"/>
          <w:sz w:val="30"/>
        </w:rPr>
        <w:t>一、学校及联系人信息</w:t>
      </w:r>
    </w:p>
    <w:p>
      <w:pPr>
        <w:pStyle w:val="2"/>
        <w:spacing w:before="7"/>
        <w:rPr>
          <w:rFonts w:ascii="黑体"/>
          <w:sz w:val="9"/>
        </w:rPr>
      </w:pPr>
    </w:p>
    <w:tbl>
      <w:tblPr>
        <w:tblStyle w:val="88"/>
        <w:tblW w:w="0" w:type="auto"/>
        <w:tblInd w:w="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8"/>
        <w:gridCol w:w="1561"/>
        <w:gridCol w:w="1606"/>
        <w:gridCol w:w="3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908" w:type="dxa"/>
          </w:tcPr>
          <w:p>
            <w:pPr>
              <w:pStyle w:val="270"/>
              <w:spacing w:before="183"/>
              <w:jc w:val="center"/>
              <w:rPr>
                <w:sz w:val="28"/>
              </w:rPr>
            </w:pPr>
            <w:r>
              <w:rPr>
                <w:rFonts w:hint="eastAsia"/>
                <w:sz w:val="28"/>
              </w:rPr>
              <w:t>学校名称</w:t>
            </w:r>
          </w:p>
        </w:tc>
        <w:tc>
          <w:tcPr>
            <w:tcW w:w="6285" w:type="dxa"/>
            <w:gridSpan w:val="3"/>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908" w:type="dxa"/>
          </w:tcPr>
          <w:p>
            <w:pPr>
              <w:pStyle w:val="270"/>
              <w:spacing w:before="183"/>
              <w:jc w:val="center"/>
              <w:rPr>
                <w:sz w:val="28"/>
              </w:rPr>
            </w:pPr>
            <w:r>
              <w:rPr>
                <w:rFonts w:hint="eastAsia"/>
                <w:sz w:val="28"/>
              </w:rPr>
              <w:t>主管部门</w:t>
            </w:r>
          </w:p>
        </w:tc>
        <w:tc>
          <w:tcPr>
            <w:tcW w:w="6285" w:type="dxa"/>
            <w:gridSpan w:val="3"/>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908" w:type="dxa"/>
            <w:vMerge w:val="restart"/>
          </w:tcPr>
          <w:p>
            <w:pPr>
              <w:pStyle w:val="270"/>
              <w:rPr>
                <w:rFonts w:ascii="黑体"/>
                <w:sz w:val="28"/>
              </w:rPr>
            </w:pPr>
          </w:p>
          <w:p>
            <w:pPr>
              <w:pStyle w:val="270"/>
              <w:rPr>
                <w:rFonts w:ascii="黑体"/>
                <w:sz w:val="28"/>
              </w:rPr>
            </w:pPr>
          </w:p>
          <w:p>
            <w:pPr>
              <w:pStyle w:val="270"/>
              <w:spacing w:before="202"/>
              <w:jc w:val="center"/>
              <w:rPr>
                <w:sz w:val="28"/>
              </w:rPr>
            </w:pPr>
            <w:r>
              <w:rPr>
                <w:rFonts w:hint="eastAsia"/>
                <w:sz w:val="28"/>
              </w:rPr>
              <w:t>办学地点</w:t>
            </w:r>
          </w:p>
        </w:tc>
        <w:tc>
          <w:tcPr>
            <w:tcW w:w="1561" w:type="dxa"/>
          </w:tcPr>
          <w:p>
            <w:pPr>
              <w:pStyle w:val="270"/>
              <w:spacing w:before="185"/>
              <w:rPr>
                <w:sz w:val="28"/>
              </w:rPr>
            </w:pPr>
            <w:r>
              <w:rPr>
                <w:rFonts w:hint="eastAsia"/>
                <w:sz w:val="28"/>
              </w:rPr>
              <w:t>地点</w:t>
            </w:r>
            <w:r>
              <w:rPr>
                <w:sz w:val="28"/>
              </w:rPr>
              <w:t>1.</w:t>
            </w:r>
          </w:p>
        </w:tc>
        <w:tc>
          <w:tcPr>
            <w:tcW w:w="4724" w:type="dxa"/>
            <w:gridSpan w:val="2"/>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1908" w:type="dxa"/>
            <w:vMerge w:val="continue"/>
            <w:tcBorders>
              <w:top w:val="nil"/>
            </w:tcBorders>
          </w:tcPr>
          <w:p>
            <w:pPr>
              <w:rPr>
                <w:sz w:val="2"/>
                <w:szCs w:val="2"/>
              </w:rPr>
            </w:pPr>
          </w:p>
        </w:tc>
        <w:tc>
          <w:tcPr>
            <w:tcW w:w="1561" w:type="dxa"/>
          </w:tcPr>
          <w:p>
            <w:pPr>
              <w:pStyle w:val="270"/>
              <w:spacing w:before="183"/>
              <w:rPr>
                <w:sz w:val="28"/>
              </w:rPr>
            </w:pPr>
            <w:r>
              <w:rPr>
                <w:rFonts w:hint="eastAsia"/>
                <w:sz w:val="28"/>
              </w:rPr>
              <w:t>地点</w:t>
            </w:r>
            <w:r>
              <w:rPr>
                <w:sz w:val="28"/>
              </w:rPr>
              <w:t>2.</w:t>
            </w:r>
          </w:p>
        </w:tc>
        <w:tc>
          <w:tcPr>
            <w:tcW w:w="4724" w:type="dxa"/>
            <w:gridSpan w:val="2"/>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908" w:type="dxa"/>
            <w:vMerge w:val="continue"/>
            <w:tcBorders>
              <w:top w:val="nil"/>
            </w:tcBorders>
          </w:tcPr>
          <w:p>
            <w:pPr>
              <w:rPr>
                <w:sz w:val="2"/>
                <w:szCs w:val="2"/>
              </w:rPr>
            </w:pPr>
          </w:p>
        </w:tc>
        <w:tc>
          <w:tcPr>
            <w:tcW w:w="1561" w:type="dxa"/>
          </w:tcPr>
          <w:p>
            <w:pPr>
              <w:pStyle w:val="270"/>
              <w:spacing w:before="183"/>
              <w:rPr>
                <w:sz w:val="28"/>
              </w:rPr>
            </w:pPr>
            <w:r>
              <w:rPr>
                <w:rFonts w:hint="eastAsia"/>
                <w:sz w:val="28"/>
              </w:rPr>
              <w:t>地点</w:t>
            </w:r>
            <w:r>
              <w:rPr>
                <w:sz w:val="28"/>
              </w:rPr>
              <w:t>3.</w:t>
            </w:r>
          </w:p>
        </w:tc>
        <w:tc>
          <w:tcPr>
            <w:tcW w:w="4724" w:type="dxa"/>
            <w:gridSpan w:val="2"/>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908" w:type="dxa"/>
            <w:vMerge w:val="restart"/>
          </w:tcPr>
          <w:p>
            <w:pPr>
              <w:pStyle w:val="270"/>
              <w:spacing w:before="21" w:line="624" w:lineRule="exact"/>
              <w:ind w:left="420" w:hanging="420"/>
              <w:rPr>
                <w:sz w:val="28"/>
              </w:rPr>
            </w:pPr>
            <w:r>
              <w:rPr>
                <w:rFonts w:hint="eastAsia"/>
                <w:sz w:val="28"/>
              </w:rPr>
              <w:t>参加上一轮评估情况</w:t>
            </w:r>
          </w:p>
        </w:tc>
        <w:tc>
          <w:tcPr>
            <w:tcW w:w="1561" w:type="dxa"/>
          </w:tcPr>
          <w:p>
            <w:pPr>
              <w:pStyle w:val="270"/>
              <w:spacing w:before="132"/>
              <w:rPr>
                <w:sz w:val="28"/>
              </w:rPr>
            </w:pPr>
            <w:r>
              <w:rPr>
                <w:rFonts w:hint="eastAsia"/>
                <w:sz w:val="28"/>
              </w:rPr>
              <w:t>评估类型</w:t>
            </w:r>
          </w:p>
        </w:tc>
        <w:tc>
          <w:tcPr>
            <w:tcW w:w="4724" w:type="dxa"/>
            <w:gridSpan w:val="2"/>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908" w:type="dxa"/>
            <w:vMerge w:val="continue"/>
            <w:tcBorders>
              <w:top w:val="nil"/>
            </w:tcBorders>
          </w:tcPr>
          <w:p>
            <w:pPr>
              <w:rPr>
                <w:sz w:val="2"/>
                <w:szCs w:val="2"/>
              </w:rPr>
            </w:pPr>
          </w:p>
        </w:tc>
        <w:tc>
          <w:tcPr>
            <w:tcW w:w="1561" w:type="dxa"/>
          </w:tcPr>
          <w:p>
            <w:pPr>
              <w:pStyle w:val="270"/>
              <w:spacing w:before="132"/>
              <w:rPr>
                <w:sz w:val="28"/>
              </w:rPr>
            </w:pPr>
            <w:r>
              <w:rPr>
                <w:rFonts w:hint="eastAsia"/>
                <w:sz w:val="28"/>
              </w:rPr>
              <w:t>评估时间</w:t>
            </w:r>
          </w:p>
        </w:tc>
        <w:tc>
          <w:tcPr>
            <w:tcW w:w="4724" w:type="dxa"/>
            <w:gridSpan w:val="2"/>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908" w:type="dxa"/>
            <w:vMerge w:val="restart"/>
          </w:tcPr>
          <w:p>
            <w:pPr>
              <w:pStyle w:val="270"/>
              <w:jc w:val="center"/>
              <w:rPr>
                <w:rFonts w:ascii="黑体"/>
                <w:sz w:val="28"/>
              </w:rPr>
            </w:pPr>
          </w:p>
          <w:p>
            <w:pPr>
              <w:pStyle w:val="270"/>
              <w:spacing w:before="191"/>
              <w:jc w:val="center"/>
              <w:rPr>
                <w:sz w:val="28"/>
              </w:rPr>
            </w:pPr>
            <w:r>
              <w:rPr>
                <w:rFonts w:hint="eastAsia"/>
                <w:sz w:val="28"/>
              </w:rPr>
              <w:t>校长</w:t>
            </w:r>
          </w:p>
        </w:tc>
        <w:tc>
          <w:tcPr>
            <w:tcW w:w="1561" w:type="dxa"/>
            <w:vMerge w:val="restart"/>
          </w:tcPr>
          <w:p>
            <w:pPr>
              <w:pStyle w:val="270"/>
              <w:rPr>
                <w:rFonts w:ascii="Times New Roman"/>
                <w:sz w:val="28"/>
              </w:rPr>
            </w:pPr>
          </w:p>
        </w:tc>
        <w:tc>
          <w:tcPr>
            <w:tcW w:w="1606" w:type="dxa"/>
          </w:tcPr>
          <w:p>
            <w:pPr>
              <w:pStyle w:val="270"/>
              <w:spacing w:before="132"/>
              <w:rPr>
                <w:sz w:val="28"/>
              </w:rPr>
            </w:pPr>
            <w:r>
              <w:rPr>
                <w:rFonts w:hint="eastAsia"/>
                <w:sz w:val="28"/>
              </w:rPr>
              <w:t>办公电话</w:t>
            </w:r>
          </w:p>
        </w:tc>
        <w:tc>
          <w:tcPr>
            <w:tcW w:w="3118" w:type="dxa"/>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1908" w:type="dxa"/>
            <w:vMerge w:val="continue"/>
            <w:tcBorders>
              <w:top w:val="nil"/>
            </w:tcBorders>
          </w:tcPr>
          <w:p>
            <w:pPr>
              <w:jc w:val="center"/>
              <w:rPr>
                <w:sz w:val="2"/>
                <w:szCs w:val="2"/>
              </w:rPr>
            </w:pPr>
          </w:p>
        </w:tc>
        <w:tc>
          <w:tcPr>
            <w:tcW w:w="1561" w:type="dxa"/>
            <w:vMerge w:val="continue"/>
            <w:tcBorders>
              <w:top w:val="nil"/>
            </w:tcBorders>
          </w:tcPr>
          <w:p>
            <w:pPr>
              <w:rPr>
                <w:sz w:val="2"/>
                <w:szCs w:val="2"/>
              </w:rPr>
            </w:pPr>
          </w:p>
        </w:tc>
        <w:tc>
          <w:tcPr>
            <w:tcW w:w="1606" w:type="dxa"/>
          </w:tcPr>
          <w:p>
            <w:pPr>
              <w:pStyle w:val="270"/>
              <w:spacing w:before="135"/>
              <w:rPr>
                <w:sz w:val="28"/>
              </w:rPr>
            </w:pPr>
            <w:r>
              <w:rPr>
                <w:rFonts w:hint="eastAsia"/>
                <w:sz w:val="28"/>
              </w:rPr>
              <w:t>电子邮箱</w:t>
            </w:r>
          </w:p>
        </w:tc>
        <w:tc>
          <w:tcPr>
            <w:tcW w:w="3118" w:type="dxa"/>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908" w:type="dxa"/>
            <w:vMerge w:val="restart"/>
          </w:tcPr>
          <w:p>
            <w:pPr>
              <w:pStyle w:val="270"/>
              <w:jc w:val="center"/>
              <w:rPr>
                <w:rFonts w:ascii="黑体"/>
                <w:sz w:val="28"/>
              </w:rPr>
            </w:pPr>
          </w:p>
          <w:p>
            <w:pPr>
              <w:pStyle w:val="270"/>
              <w:jc w:val="center"/>
              <w:rPr>
                <w:rFonts w:ascii="黑体"/>
                <w:sz w:val="28"/>
              </w:rPr>
            </w:pPr>
          </w:p>
          <w:p>
            <w:pPr>
              <w:pStyle w:val="270"/>
              <w:spacing w:before="202"/>
              <w:jc w:val="center"/>
              <w:rPr>
                <w:sz w:val="28"/>
              </w:rPr>
            </w:pPr>
            <w:r>
              <w:rPr>
                <w:rFonts w:hint="eastAsia"/>
                <w:sz w:val="28"/>
              </w:rPr>
              <w:t>分管校领导</w:t>
            </w:r>
          </w:p>
        </w:tc>
        <w:tc>
          <w:tcPr>
            <w:tcW w:w="1561" w:type="dxa"/>
            <w:vMerge w:val="restart"/>
          </w:tcPr>
          <w:p>
            <w:pPr>
              <w:pStyle w:val="270"/>
              <w:rPr>
                <w:rFonts w:ascii="Times New Roman"/>
                <w:sz w:val="28"/>
              </w:rPr>
            </w:pPr>
          </w:p>
        </w:tc>
        <w:tc>
          <w:tcPr>
            <w:tcW w:w="1606" w:type="dxa"/>
          </w:tcPr>
          <w:p>
            <w:pPr>
              <w:pStyle w:val="270"/>
              <w:spacing w:before="132"/>
              <w:rPr>
                <w:sz w:val="28"/>
              </w:rPr>
            </w:pPr>
            <w:r>
              <w:rPr>
                <w:rFonts w:hint="eastAsia"/>
                <w:sz w:val="28"/>
              </w:rPr>
              <w:t>办公电话</w:t>
            </w:r>
          </w:p>
        </w:tc>
        <w:tc>
          <w:tcPr>
            <w:tcW w:w="3118" w:type="dxa"/>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908" w:type="dxa"/>
            <w:vMerge w:val="continue"/>
            <w:tcBorders>
              <w:top w:val="nil"/>
            </w:tcBorders>
          </w:tcPr>
          <w:p>
            <w:pPr>
              <w:jc w:val="center"/>
              <w:rPr>
                <w:sz w:val="2"/>
                <w:szCs w:val="2"/>
              </w:rPr>
            </w:pPr>
          </w:p>
        </w:tc>
        <w:tc>
          <w:tcPr>
            <w:tcW w:w="1561" w:type="dxa"/>
            <w:vMerge w:val="continue"/>
            <w:tcBorders>
              <w:top w:val="nil"/>
            </w:tcBorders>
          </w:tcPr>
          <w:p>
            <w:pPr>
              <w:rPr>
                <w:sz w:val="2"/>
                <w:szCs w:val="2"/>
              </w:rPr>
            </w:pPr>
          </w:p>
        </w:tc>
        <w:tc>
          <w:tcPr>
            <w:tcW w:w="1606" w:type="dxa"/>
          </w:tcPr>
          <w:p>
            <w:pPr>
              <w:pStyle w:val="270"/>
              <w:spacing w:before="132"/>
              <w:rPr>
                <w:sz w:val="28"/>
              </w:rPr>
            </w:pPr>
            <w:r>
              <w:rPr>
                <w:rFonts w:hint="eastAsia"/>
                <w:sz w:val="28"/>
              </w:rPr>
              <w:t>手机</w:t>
            </w:r>
          </w:p>
        </w:tc>
        <w:tc>
          <w:tcPr>
            <w:tcW w:w="3118" w:type="dxa"/>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908" w:type="dxa"/>
            <w:vMerge w:val="continue"/>
            <w:tcBorders>
              <w:top w:val="nil"/>
            </w:tcBorders>
          </w:tcPr>
          <w:p>
            <w:pPr>
              <w:jc w:val="center"/>
              <w:rPr>
                <w:sz w:val="2"/>
                <w:szCs w:val="2"/>
              </w:rPr>
            </w:pPr>
          </w:p>
        </w:tc>
        <w:tc>
          <w:tcPr>
            <w:tcW w:w="1561" w:type="dxa"/>
            <w:vMerge w:val="continue"/>
            <w:tcBorders>
              <w:top w:val="nil"/>
            </w:tcBorders>
          </w:tcPr>
          <w:p>
            <w:pPr>
              <w:rPr>
                <w:sz w:val="2"/>
                <w:szCs w:val="2"/>
              </w:rPr>
            </w:pPr>
          </w:p>
        </w:tc>
        <w:tc>
          <w:tcPr>
            <w:tcW w:w="1606" w:type="dxa"/>
          </w:tcPr>
          <w:p>
            <w:pPr>
              <w:pStyle w:val="270"/>
              <w:spacing w:before="135"/>
              <w:rPr>
                <w:sz w:val="28"/>
              </w:rPr>
            </w:pPr>
            <w:r>
              <w:rPr>
                <w:rFonts w:hint="eastAsia"/>
                <w:sz w:val="28"/>
              </w:rPr>
              <w:t>电子邮箱</w:t>
            </w:r>
          </w:p>
        </w:tc>
        <w:tc>
          <w:tcPr>
            <w:tcW w:w="3118" w:type="dxa"/>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1908" w:type="dxa"/>
            <w:vMerge w:val="restart"/>
          </w:tcPr>
          <w:p>
            <w:pPr>
              <w:pStyle w:val="270"/>
              <w:jc w:val="center"/>
              <w:rPr>
                <w:rFonts w:ascii="黑体"/>
                <w:sz w:val="28"/>
              </w:rPr>
            </w:pPr>
          </w:p>
          <w:p>
            <w:pPr>
              <w:pStyle w:val="270"/>
              <w:jc w:val="center"/>
              <w:rPr>
                <w:rFonts w:ascii="黑体"/>
                <w:sz w:val="28"/>
              </w:rPr>
            </w:pPr>
          </w:p>
          <w:p>
            <w:pPr>
              <w:pStyle w:val="270"/>
              <w:spacing w:before="203"/>
              <w:jc w:val="center"/>
              <w:rPr>
                <w:sz w:val="28"/>
              </w:rPr>
            </w:pPr>
            <w:r>
              <w:rPr>
                <w:rFonts w:hint="eastAsia"/>
                <w:sz w:val="28"/>
              </w:rPr>
              <w:t>联系人</w:t>
            </w:r>
          </w:p>
        </w:tc>
        <w:tc>
          <w:tcPr>
            <w:tcW w:w="1561" w:type="dxa"/>
            <w:vMerge w:val="restart"/>
          </w:tcPr>
          <w:p>
            <w:pPr>
              <w:pStyle w:val="270"/>
              <w:rPr>
                <w:rFonts w:ascii="Times New Roman"/>
                <w:sz w:val="28"/>
              </w:rPr>
            </w:pPr>
          </w:p>
        </w:tc>
        <w:tc>
          <w:tcPr>
            <w:tcW w:w="1606" w:type="dxa"/>
          </w:tcPr>
          <w:p>
            <w:pPr>
              <w:pStyle w:val="270"/>
              <w:spacing w:before="132"/>
              <w:rPr>
                <w:sz w:val="28"/>
              </w:rPr>
            </w:pPr>
            <w:r>
              <w:rPr>
                <w:rFonts w:hint="eastAsia"/>
                <w:sz w:val="28"/>
              </w:rPr>
              <w:t>办公电话</w:t>
            </w:r>
          </w:p>
        </w:tc>
        <w:tc>
          <w:tcPr>
            <w:tcW w:w="3118" w:type="dxa"/>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908" w:type="dxa"/>
            <w:vMerge w:val="continue"/>
            <w:tcBorders>
              <w:top w:val="nil"/>
            </w:tcBorders>
          </w:tcPr>
          <w:p>
            <w:pPr>
              <w:jc w:val="center"/>
              <w:rPr>
                <w:sz w:val="2"/>
                <w:szCs w:val="2"/>
              </w:rPr>
            </w:pPr>
          </w:p>
        </w:tc>
        <w:tc>
          <w:tcPr>
            <w:tcW w:w="1561" w:type="dxa"/>
            <w:vMerge w:val="continue"/>
            <w:tcBorders>
              <w:top w:val="nil"/>
            </w:tcBorders>
          </w:tcPr>
          <w:p>
            <w:pPr>
              <w:rPr>
                <w:sz w:val="2"/>
                <w:szCs w:val="2"/>
              </w:rPr>
            </w:pPr>
          </w:p>
        </w:tc>
        <w:tc>
          <w:tcPr>
            <w:tcW w:w="1606" w:type="dxa"/>
          </w:tcPr>
          <w:p>
            <w:pPr>
              <w:pStyle w:val="270"/>
              <w:spacing w:before="132"/>
              <w:rPr>
                <w:sz w:val="28"/>
              </w:rPr>
            </w:pPr>
            <w:r>
              <w:rPr>
                <w:rFonts w:hint="eastAsia"/>
                <w:sz w:val="28"/>
              </w:rPr>
              <w:t>手机</w:t>
            </w:r>
          </w:p>
        </w:tc>
        <w:tc>
          <w:tcPr>
            <w:tcW w:w="3118" w:type="dxa"/>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908" w:type="dxa"/>
            <w:vMerge w:val="continue"/>
            <w:tcBorders>
              <w:top w:val="nil"/>
            </w:tcBorders>
          </w:tcPr>
          <w:p>
            <w:pPr>
              <w:jc w:val="center"/>
              <w:rPr>
                <w:sz w:val="2"/>
                <w:szCs w:val="2"/>
              </w:rPr>
            </w:pPr>
          </w:p>
        </w:tc>
        <w:tc>
          <w:tcPr>
            <w:tcW w:w="1561" w:type="dxa"/>
            <w:vMerge w:val="continue"/>
            <w:tcBorders>
              <w:top w:val="nil"/>
            </w:tcBorders>
          </w:tcPr>
          <w:p>
            <w:pPr>
              <w:rPr>
                <w:sz w:val="2"/>
                <w:szCs w:val="2"/>
              </w:rPr>
            </w:pPr>
          </w:p>
        </w:tc>
        <w:tc>
          <w:tcPr>
            <w:tcW w:w="1606" w:type="dxa"/>
          </w:tcPr>
          <w:p>
            <w:pPr>
              <w:pStyle w:val="270"/>
              <w:spacing w:before="135"/>
              <w:rPr>
                <w:sz w:val="28"/>
              </w:rPr>
            </w:pPr>
            <w:r>
              <w:rPr>
                <w:rFonts w:hint="eastAsia"/>
                <w:sz w:val="28"/>
              </w:rPr>
              <w:t>电子邮箱</w:t>
            </w:r>
          </w:p>
        </w:tc>
        <w:tc>
          <w:tcPr>
            <w:tcW w:w="3118" w:type="dxa"/>
          </w:tcPr>
          <w:p>
            <w:pPr>
              <w:pStyle w:val="270"/>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1908" w:type="dxa"/>
          </w:tcPr>
          <w:p>
            <w:pPr>
              <w:pStyle w:val="270"/>
              <w:spacing w:before="7"/>
              <w:jc w:val="center"/>
              <w:rPr>
                <w:rFonts w:ascii="黑体"/>
                <w:sz w:val="33"/>
              </w:rPr>
            </w:pPr>
          </w:p>
          <w:p>
            <w:pPr>
              <w:pStyle w:val="270"/>
              <w:jc w:val="center"/>
              <w:rPr>
                <w:sz w:val="28"/>
              </w:rPr>
            </w:pPr>
            <w:r>
              <w:rPr>
                <w:rFonts w:hint="eastAsia"/>
                <w:sz w:val="28"/>
              </w:rPr>
              <w:t>通讯地址</w:t>
            </w:r>
          </w:p>
        </w:tc>
        <w:tc>
          <w:tcPr>
            <w:tcW w:w="6285" w:type="dxa"/>
            <w:gridSpan w:val="3"/>
          </w:tcPr>
          <w:p>
            <w:pPr>
              <w:pStyle w:val="270"/>
              <w:rPr>
                <w:rFonts w:ascii="Times New Roman"/>
                <w:sz w:val="28"/>
              </w:rPr>
            </w:pPr>
          </w:p>
        </w:tc>
      </w:tr>
    </w:tbl>
    <w:p>
      <w:pPr>
        <w:rPr>
          <w:sz w:val="28"/>
        </w:rPr>
        <w:sectPr>
          <w:pgSz w:w="11910" w:h="16840"/>
          <w:pgMar w:top="1500" w:right="1400" w:bottom="1380" w:left="1680" w:header="0" w:footer="1195" w:gutter="0"/>
          <w:cols w:space="720" w:num="1"/>
        </w:sectPr>
      </w:pPr>
    </w:p>
    <w:p>
      <w:pPr>
        <w:spacing w:before="39"/>
        <w:rPr>
          <w:rFonts w:ascii="黑体" w:eastAsia="黑体"/>
          <w:sz w:val="30"/>
        </w:rPr>
      </w:pPr>
      <w:r>
        <w:pict>
          <v:shape id="文本框 4" o:spid="_x0000_s1027" o:spt="202" type="#_x0000_t202" style="position:absolute;left:0pt;margin-left:89.4pt;margin-top:27.5pt;height:624.6pt;width:416.6pt;mso-position-horizontal-relative:page;mso-wrap-distance-bottom:0pt;mso-wrap-distance-top:0pt;z-index:-25165721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">
            <v:path arrowok="t"/>
            <v:fill on="f" focussize="0,0"/>
            <v:stroke weight="0.48pt" joinstyle="miter"/>
            <v:imagedata o:title=""/>
            <o:lock v:ext="edit"/>
            <v:textbox inset="0mm,0mm,0mm,0mm">
              <w:txbxContent>
                <w:p>
                  <w:pPr>
                    <w:pStyle w:val="2"/>
                    <w:spacing w:before="132" w:line="417" w:lineRule="auto"/>
                    <w:ind w:left="103" w:right="60"/>
                    <w:jc w:val="left"/>
                    <w:rPr>
                      <w:rFonts w:ascii="仿宋" w:eastAsia="仿宋"/>
                      <w:sz w:val="28"/>
                      <w:szCs w:val="28"/>
                    </w:rPr>
                  </w:pPr>
                  <w:r>
                    <w:rPr>
                      <w:rFonts w:hint="eastAsia" w:ascii="仿宋" w:eastAsia="仿宋"/>
                      <w:sz w:val="28"/>
                      <w:szCs w:val="28"/>
                    </w:rPr>
                    <w:t>历史沿革、基础设施、办学规模、学科专业、办学条件等方面的基本现状。（不超过</w:t>
                  </w:r>
                  <w:r>
                    <w:rPr>
                      <w:rFonts w:ascii="仿宋" w:eastAsia="仿宋"/>
                      <w:sz w:val="28"/>
                      <w:szCs w:val="28"/>
                    </w:rPr>
                    <w:t>1000</w:t>
                  </w:r>
                  <w:r>
                    <w:rPr>
                      <w:rFonts w:hint="eastAsia" w:ascii="仿宋" w:eastAsia="仿宋"/>
                      <w:sz w:val="28"/>
                      <w:szCs w:val="28"/>
                    </w:rPr>
                    <w:t>字）</w:t>
                  </w:r>
                </w:p>
              </w:txbxContent>
            </v:textbox>
            <w10:wrap type="topAndBottom"/>
          </v:shape>
        </w:pict>
      </w:r>
      <w:r>
        <w:rPr>
          <w:rFonts w:hint="eastAsia" w:ascii="黑体" w:eastAsia="黑体"/>
          <w:sz w:val="30"/>
        </w:rPr>
        <w:t>二、学校基本情况</w:t>
      </w:r>
    </w:p>
    <w:p>
      <w:pPr>
        <w:rPr>
          <w:rFonts w:ascii="黑体" w:eastAsia="黑体"/>
          <w:sz w:val="30"/>
        </w:rPr>
        <w:sectPr>
          <w:pgSz w:w="11910" w:h="16840"/>
          <w:pgMar w:top="1500" w:right="1400" w:bottom="1380" w:left="1680" w:header="0" w:footer="1195" w:gutter="0"/>
          <w:cols w:space="720" w:num="1"/>
        </w:sectPr>
      </w:pPr>
    </w:p>
    <w:p>
      <w:pPr>
        <w:spacing w:before="39"/>
        <w:rPr>
          <w:rFonts w:ascii="黑体" w:eastAsia="黑体"/>
          <w:sz w:val="30"/>
        </w:rPr>
      </w:pPr>
      <w:r>
        <w:pict>
          <v:shape id="文本框 5" o:spid="_x0000_s1028" o:spt="202" type="#_x0000_t202" style="position:absolute;left:0pt;margin-left:89.75pt;margin-top:27.5pt;height:626.15pt;width:415.9pt;mso-position-horizontal-relative:page;mso-wrap-distance-bottom:0pt;mso-wrap-distance-top:0pt;z-index:-25165619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">
            <v:path arrowok="t"/>
            <v:fill on="f" focussize="0,0"/>
            <v:stroke weight="0.48pt" joinstyle="miter"/>
            <v:imagedata o:title=""/>
            <o:lock v:ext="edit"/>
            <v:textbox inset="0mm,0mm,0mm,0mm">
              <w:txbxContent>
                <w:p>
                  <w:pPr>
                    <w:adjustRightInd w:val="0"/>
                    <w:spacing w:before="132" w:line="417" w:lineRule="auto"/>
                    <w:ind w:left="103" w:right="53"/>
                    <w:rPr>
                      <w:rFonts w:ascii="仿宋" w:hAnsi="仿宋" w:eastAsia="仿宋" w:cs="FZFSK--GBK1-0"/>
                      <w:sz w:val="28"/>
                      <w:szCs w:val="28"/>
                    </w:rPr>
                  </w:pPr>
                  <w:r>
                    <w:rPr>
                      <w:rFonts w:hint="eastAsia" w:ascii="仿宋" w:hAnsi="仿宋" w:eastAsia="仿宋" w:cs="FZSHK--GBK1-0"/>
                      <w:sz w:val="28"/>
                      <w:szCs w:val="28"/>
                    </w:rPr>
                    <w:t>参加上一轮评估情况、需要整改的问题</w:t>
                  </w:r>
                  <w:r>
                    <w:rPr>
                      <w:rFonts w:hint="eastAsia" w:ascii="仿宋" w:hAnsi="仿宋" w:eastAsia="仿宋" w:cs="FZFSK--GBK1-0"/>
                      <w:sz w:val="28"/>
                      <w:szCs w:val="28"/>
                    </w:rPr>
                    <w:t>（概要说明学校自评报告、专家组报告、专家反馈的主要问题）、</w:t>
                  </w:r>
                  <w:r>
                    <w:rPr>
                      <w:rFonts w:hint="eastAsia" w:ascii="仿宋" w:hAnsi="仿宋" w:eastAsia="仿宋" w:cs="FZSHK--GBK1-0"/>
                      <w:sz w:val="28"/>
                      <w:szCs w:val="28"/>
                    </w:rPr>
                    <w:t>学校整改情况</w:t>
                  </w:r>
                  <w:r>
                    <w:rPr>
                      <w:rFonts w:hint="eastAsia" w:ascii="仿宋" w:hAnsi="仿宋" w:eastAsia="仿宋" w:cs="FZFSK--GBK1-0"/>
                      <w:sz w:val="28"/>
                      <w:szCs w:val="28"/>
                    </w:rPr>
                    <w:t>（简要说明学校整改工作目标、体制机制、工作举措等，举措要实、突出重点、简洁清晰）、</w:t>
                  </w:r>
                  <w:r>
                    <w:rPr>
                      <w:rFonts w:hint="eastAsia" w:ascii="仿宋" w:hAnsi="仿宋" w:eastAsia="仿宋" w:cs="FZSHK--GBK1-0"/>
                      <w:sz w:val="28"/>
                      <w:szCs w:val="28"/>
                    </w:rPr>
                    <w:t>整改工作成效</w:t>
                  </w:r>
                  <w:r>
                    <w:rPr>
                      <w:rFonts w:hint="eastAsia" w:ascii="仿宋" w:hAnsi="仿宋" w:eastAsia="仿宋" w:cs="FZFSK--GBK1-0"/>
                      <w:sz w:val="28"/>
                      <w:szCs w:val="28"/>
                    </w:rPr>
                    <w:t>（简要说明学校评估整改与持续改进的实质性效果，工作机制的建设与落实、人才培养质量提升等）。（不超过</w:t>
                  </w:r>
                  <w:r>
                    <w:rPr>
                      <w:rFonts w:ascii="仿宋" w:hAnsi="仿宋" w:eastAsia="仿宋" w:cs="FZSSK--GBK1-0"/>
                      <w:sz w:val="28"/>
                      <w:szCs w:val="28"/>
                    </w:rPr>
                    <w:t xml:space="preserve">2000 </w:t>
                  </w:r>
                  <w:r>
                    <w:rPr>
                      <w:rFonts w:hint="eastAsia" w:ascii="仿宋" w:hAnsi="仿宋" w:eastAsia="仿宋" w:cs="FZFSK--GBK1-0"/>
                      <w:sz w:val="28"/>
                      <w:szCs w:val="28"/>
                    </w:rPr>
                    <w:t>字）</w:t>
                  </w:r>
                </w:p>
              </w:txbxContent>
            </v:textbox>
            <w10:wrap type="topAndBottom"/>
          </v:shape>
        </w:pict>
      </w:r>
      <w:r>
        <w:rPr>
          <w:rFonts w:hint="eastAsia" w:ascii="黑体" w:eastAsia="黑体"/>
          <w:sz w:val="30"/>
        </w:rPr>
        <w:t>三、上一轮评估整改情况</w:t>
      </w:r>
    </w:p>
    <w:p>
      <w:pPr>
        <w:rPr>
          <w:rFonts w:ascii="黑体" w:eastAsia="黑体"/>
          <w:sz w:val="30"/>
        </w:rPr>
        <w:sectPr>
          <w:pgSz w:w="11910" w:h="16840"/>
          <w:pgMar w:top="1500" w:right="1400" w:bottom="1380" w:left="1680" w:header="0" w:footer="1195" w:gutter="0"/>
          <w:cols w:space="720" w:num="1"/>
        </w:sectPr>
      </w:pPr>
    </w:p>
    <w:p>
      <w:pPr>
        <w:spacing w:before="39"/>
        <w:rPr>
          <w:rFonts w:ascii="黑体" w:eastAsia="黑体"/>
          <w:sz w:val="30"/>
        </w:rPr>
      </w:pPr>
      <w:r>
        <w:pict>
          <v:shape id="文本框 32" o:spid="_x0000_s1029" o:spt="202" type="#_x0000_t202" style="position:absolute;left:0pt;margin-left:89.75pt;margin-top:27.5pt;height:626.15pt;width:415.9pt;mso-position-horizontal-relative:page;mso-wrap-distance-bottom:0pt;mso-wrap-distance-top:0pt;z-index:-25165516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">
            <v:path arrowok="t"/>
            <v:fill on="f" focussize="0,0"/>
            <v:stroke weight="0.48pt" joinstyle="miter"/>
            <v:imagedata o:title=""/>
            <o:lock v:ext="edit"/>
            <v:textbox inset="0mm,0mm,0mm,0mm">
              <w:txbxContent>
                <w:p>
                  <w:pPr>
                    <w:adjustRightInd w:val="0"/>
                    <w:rPr>
                      <w:rFonts w:ascii="仿宋" w:hAnsi="仿宋" w:eastAsia="仿宋" w:cs="FZFSK--GBK1-0"/>
                      <w:sz w:val="28"/>
                      <w:szCs w:val="28"/>
                    </w:rPr>
                  </w:pPr>
                  <w:r>
                    <w:rPr>
                      <w:rFonts w:hint="eastAsia" w:ascii="仿宋" w:hAnsi="仿宋" w:eastAsia="仿宋" w:cs="FZFSK--GBK1-0"/>
                      <w:sz w:val="28"/>
                      <w:szCs w:val="28"/>
                    </w:rPr>
                    <w:t>学校章程和十四五规划中确定的办学定位、人才培养目标、师资</w:t>
                  </w:r>
                </w:p>
                <w:p>
                  <w:pPr>
                    <w:adjustRightInd w:val="0"/>
                    <w:rPr>
                      <w:rFonts w:ascii="仿宋" w:hAnsi="仿宋" w:eastAsia="仿宋" w:cs="FZFSK--GBK1-0"/>
                      <w:sz w:val="28"/>
                      <w:szCs w:val="28"/>
                    </w:rPr>
                  </w:pPr>
                  <w:r>
                    <w:rPr>
                      <w:rFonts w:hint="eastAsia" w:ascii="仿宋" w:hAnsi="仿宋" w:eastAsia="仿宋" w:cs="FZFSK--GBK1-0"/>
                      <w:sz w:val="28"/>
                      <w:szCs w:val="28"/>
                    </w:rPr>
                    <w:t>队伍与育人平台、学生发展、教学成效等。（不超过</w:t>
                  </w:r>
                  <w:r>
                    <w:rPr>
                      <w:rFonts w:ascii="仿宋" w:hAnsi="仿宋" w:eastAsia="仿宋" w:cs="FZFSK--GBK1-0"/>
                      <w:sz w:val="28"/>
                      <w:szCs w:val="28"/>
                    </w:rPr>
                    <w:t xml:space="preserve">2000 </w:t>
                  </w:r>
                  <w:r>
                    <w:rPr>
                      <w:rFonts w:hint="eastAsia" w:ascii="仿宋" w:hAnsi="仿宋" w:eastAsia="仿宋" w:cs="FZFSK--GBK1-0"/>
                      <w:sz w:val="28"/>
                      <w:szCs w:val="28"/>
                    </w:rPr>
                    <w:t>字）</w:t>
                  </w:r>
                </w:p>
              </w:txbxContent>
            </v:textbox>
            <w10:wrap type="topAndBottom"/>
          </v:shape>
        </w:pict>
      </w:r>
      <w:r>
        <w:rPr>
          <w:rFonts w:hint="eastAsia" w:ascii="黑体" w:eastAsia="黑体"/>
          <w:sz w:val="30"/>
        </w:rPr>
        <w:t>四、申请理由</w:t>
      </w:r>
    </w:p>
    <w:p>
      <w:pPr>
        <w:spacing w:before="39"/>
        <w:rPr>
          <w:rFonts w:ascii="黑体" w:eastAsia="黑体"/>
          <w:sz w:val="30"/>
        </w:rPr>
      </w:pPr>
    </w:p>
    <w:p>
      <w:pPr>
        <w:spacing w:before="39"/>
        <w:rPr>
          <w:rFonts w:ascii="黑体" w:eastAsia="黑体"/>
          <w:sz w:val="30"/>
        </w:rPr>
      </w:pPr>
    </w:p>
    <w:p>
      <w:pPr>
        <w:spacing w:before="39"/>
        <w:rPr>
          <w:rFonts w:ascii="黑体" w:eastAsia="黑体"/>
          <w:sz w:val="30"/>
        </w:rPr>
      </w:pPr>
      <w:r>
        <w:rPr>
          <w:rFonts w:hint="eastAsia" w:ascii="黑体" w:eastAsia="黑体"/>
          <w:sz w:val="30"/>
        </w:rPr>
        <w:t>五、已通过认证（在有效期内）申请免于评估考察的专业</w:t>
      </w:r>
    </w:p>
    <w:p>
      <w:pPr>
        <w:pStyle w:val="2"/>
        <w:spacing w:before="7"/>
        <w:rPr>
          <w:rFonts w:ascii="黑体"/>
          <w:sz w:val="9"/>
        </w:rPr>
      </w:pPr>
    </w:p>
    <w:tbl>
      <w:tblPr>
        <w:tblStyle w:val="88"/>
        <w:tblW w:w="0" w:type="auto"/>
        <w:tblInd w:w="-1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5"/>
        <w:gridCol w:w="1843"/>
        <w:gridCol w:w="993"/>
        <w:gridCol w:w="1557"/>
        <w:gridCol w:w="993"/>
        <w:gridCol w:w="1274"/>
        <w:gridCol w:w="10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55" w:type="dxa"/>
          </w:tcPr>
          <w:p>
            <w:pPr>
              <w:pStyle w:val="270"/>
              <w:spacing w:before="148" w:line="242" w:lineRule="auto"/>
              <w:rPr>
                <w:rFonts w:ascii="宋体" w:eastAsia="宋体"/>
                <w:b/>
                <w:sz w:val="24"/>
              </w:rPr>
            </w:pPr>
            <w:r>
              <w:rPr>
                <w:rFonts w:hint="eastAsia" w:ascii="宋体" w:eastAsia="宋体"/>
                <w:b/>
                <w:w w:val="95"/>
                <w:sz w:val="24"/>
              </w:rPr>
              <w:t>序号</w:t>
            </w:r>
          </w:p>
        </w:tc>
        <w:tc>
          <w:tcPr>
            <w:tcW w:w="1843" w:type="dxa"/>
          </w:tcPr>
          <w:p>
            <w:pPr>
              <w:pStyle w:val="270"/>
              <w:spacing w:before="9"/>
              <w:rPr>
                <w:rFonts w:ascii="黑体"/>
                <w:sz w:val="23"/>
              </w:rPr>
            </w:pPr>
          </w:p>
          <w:p>
            <w:pPr>
              <w:pStyle w:val="270"/>
              <w:spacing w:before="1"/>
              <w:rPr>
                <w:rFonts w:ascii="宋体" w:eastAsia="宋体"/>
                <w:b/>
                <w:sz w:val="24"/>
              </w:rPr>
            </w:pPr>
            <w:r>
              <w:rPr>
                <w:rFonts w:hint="eastAsia" w:ascii="宋体" w:eastAsia="宋体"/>
                <w:b/>
                <w:sz w:val="24"/>
              </w:rPr>
              <w:t>专业名称</w:t>
            </w:r>
          </w:p>
        </w:tc>
        <w:tc>
          <w:tcPr>
            <w:tcW w:w="993" w:type="dxa"/>
          </w:tcPr>
          <w:p>
            <w:pPr>
              <w:pStyle w:val="270"/>
              <w:spacing w:before="148" w:line="242" w:lineRule="auto"/>
              <w:rPr>
                <w:rFonts w:ascii="宋体" w:eastAsia="宋体"/>
                <w:b/>
                <w:sz w:val="24"/>
              </w:rPr>
            </w:pPr>
            <w:r>
              <w:rPr>
                <w:rFonts w:hint="eastAsia" w:ascii="宋体" w:eastAsia="宋体"/>
                <w:b/>
                <w:sz w:val="24"/>
              </w:rPr>
              <w:t>通过认证次数</w:t>
            </w:r>
          </w:p>
        </w:tc>
        <w:tc>
          <w:tcPr>
            <w:tcW w:w="1557" w:type="dxa"/>
          </w:tcPr>
          <w:p>
            <w:pPr>
              <w:pStyle w:val="270"/>
              <w:spacing w:before="148" w:line="242" w:lineRule="auto"/>
              <w:rPr>
                <w:rFonts w:ascii="宋体" w:eastAsia="宋体"/>
                <w:b/>
                <w:sz w:val="24"/>
              </w:rPr>
            </w:pPr>
            <w:r>
              <w:rPr>
                <w:rFonts w:hint="eastAsia" w:ascii="宋体" w:eastAsia="宋体"/>
                <w:b/>
                <w:sz w:val="24"/>
              </w:rPr>
              <w:t>最近一次通过认证时间</w:t>
            </w:r>
          </w:p>
        </w:tc>
        <w:tc>
          <w:tcPr>
            <w:tcW w:w="993" w:type="dxa"/>
          </w:tcPr>
          <w:p>
            <w:pPr>
              <w:pStyle w:val="270"/>
              <w:spacing w:before="9"/>
              <w:rPr>
                <w:rFonts w:ascii="黑体"/>
                <w:sz w:val="23"/>
              </w:rPr>
            </w:pPr>
          </w:p>
          <w:p>
            <w:pPr>
              <w:pStyle w:val="270"/>
              <w:spacing w:before="1"/>
              <w:rPr>
                <w:rFonts w:ascii="宋体" w:eastAsia="宋体"/>
                <w:b/>
                <w:sz w:val="24"/>
              </w:rPr>
            </w:pPr>
            <w:r>
              <w:rPr>
                <w:rFonts w:hint="eastAsia" w:ascii="宋体" w:eastAsia="宋体"/>
                <w:b/>
                <w:sz w:val="24"/>
              </w:rPr>
              <w:t>有效期</w:t>
            </w:r>
          </w:p>
        </w:tc>
        <w:tc>
          <w:tcPr>
            <w:tcW w:w="1274" w:type="dxa"/>
          </w:tcPr>
          <w:p>
            <w:pPr>
              <w:pStyle w:val="270"/>
              <w:spacing w:before="9"/>
              <w:rPr>
                <w:rFonts w:ascii="黑体"/>
                <w:sz w:val="23"/>
              </w:rPr>
            </w:pPr>
          </w:p>
          <w:p>
            <w:pPr>
              <w:pStyle w:val="270"/>
              <w:spacing w:before="1"/>
              <w:rPr>
                <w:rFonts w:ascii="宋体" w:eastAsia="宋体"/>
                <w:b/>
                <w:sz w:val="24"/>
              </w:rPr>
            </w:pPr>
            <w:r>
              <w:rPr>
                <w:rFonts w:hint="eastAsia" w:ascii="宋体" w:eastAsia="宋体"/>
                <w:b/>
                <w:sz w:val="24"/>
              </w:rPr>
              <w:t>认证单位</w:t>
            </w:r>
          </w:p>
        </w:tc>
        <w:tc>
          <w:tcPr>
            <w:tcW w:w="1043" w:type="dxa"/>
          </w:tcPr>
          <w:p>
            <w:pPr>
              <w:pStyle w:val="270"/>
              <w:spacing w:before="148" w:line="242" w:lineRule="auto"/>
              <w:rPr>
                <w:rFonts w:ascii="宋体" w:eastAsia="宋体"/>
                <w:b/>
                <w:sz w:val="24"/>
              </w:rPr>
            </w:pPr>
            <w:r>
              <w:rPr>
                <w:rFonts w:hint="eastAsia" w:ascii="宋体" w:eastAsia="宋体"/>
                <w:b/>
                <w:sz w:val="24"/>
              </w:rPr>
              <w:t>是否申请免于评估考察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855" w:type="dxa"/>
          </w:tcPr>
          <w:p>
            <w:pPr>
              <w:pStyle w:val="270"/>
              <w:rPr>
                <w:rFonts w:ascii="Times New Roman"/>
                <w:sz w:val="26"/>
              </w:rPr>
            </w:pPr>
          </w:p>
        </w:tc>
        <w:tc>
          <w:tcPr>
            <w:tcW w:w="1843" w:type="dxa"/>
          </w:tcPr>
          <w:p>
            <w:pPr>
              <w:pStyle w:val="270"/>
              <w:rPr>
                <w:rFonts w:ascii="Times New Roman"/>
                <w:sz w:val="26"/>
              </w:rPr>
            </w:pPr>
          </w:p>
        </w:tc>
        <w:tc>
          <w:tcPr>
            <w:tcW w:w="993" w:type="dxa"/>
          </w:tcPr>
          <w:p>
            <w:pPr>
              <w:pStyle w:val="270"/>
              <w:rPr>
                <w:rFonts w:ascii="Times New Roman"/>
                <w:sz w:val="26"/>
              </w:rPr>
            </w:pPr>
          </w:p>
        </w:tc>
        <w:tc>
          <w:tcPr>
            <w:tcW w:w="1557" w:type="dxa"/>
          </w:tcPr>
          <w:p>
            <w:pPr>
              <w:pStyle w:val="270"/>
              <w:rPr>
                <w:rFonts w:ascii="Times New Roman"/>
                <w:sz w:val="26"/>
              </w:rPr>
            </w:pPr>
          </w:p>
        </w:tc>
        <w:tc>
          <w:tcPr>
            <w:tcW w:w="993" w:type="dxa"/>
          </w:tcPr>
          <w:p>
            <w:pPr>
              <w:pStyle w:val="270"/>
              <w:rPr>
                <w:rFonts w:ascii="Times New Roman"/>
                <w:sz w:val="26"/>
              </w:rPr>
            </w:pPr>
          </w:p>
        </w:tc>
        <w:tc>
          <w:tcPr>
            <w:tcW w:w="1274" w:type="dxa"/>
          </w:tcPr>
          <w:p>
            <w:pPr>
              <w:pStyle w:val="270"/>
              <w:rPr>
                <w:rFonts w:ascii="Times New Roman"/>
                <w:sz w:val="26"/>
              </w:rPr>
            </w:pPr>
          </w:p>
        </w:tc>
        <w:tc>
          <w:tcPr>
            <w:tcW w:w="1043" w:type="dxa"/>
          </w:tcPr>
          <w:p>
            <w:pPr>
              <w:pStyle w:val="270"/>
              <w:rPr>
                <w:rFonts w:ascii="Times New Roman"/>
                <w:sz w:val="26"/>
              </w:rPr>
            </w:pPr>
          </w:p>
        </w:tc>
      </w:tr>
    </w:tbl>
    <w:p>
      <w:pPr>
        <w:rPr>
          <w:sz w:val="26"/>
        </w:rPr>
        <w:sectPr>
          <w:pgSz w:w="11910" w:h="16840"/>
          <w:pgMar w:top="1500" w:right="1400" w:bottom="1380" w:left="1680" w:header="0" w:footer="1195" w:gutter="0"/>
          <w:cols w:space="720" w:num="1"/>
        </w:sectPr>
      </w:pPr>
    </w:p>
    <w:p>
      <w:pPr>
        <w:spacing w:before="39"/>
        <w:rPr>
          <w:rFonts w:ascii="黑体" w:eastAsia="黑体"/>
          <w:sz w:val="30"/>
        </w:rPr>
      </w:pPr>
      <w:r>
        <w:rPr>
          <w:rFonts w:hint="eastAsia" w:ascii="黑体" w:eastAsia="黑体"/>
          <w:sz w:val="30"/>
        </w:rPr>
        <w:t>六、学校与教育行政部门意见</w:t>
      </w:r>
    </w:p>
    <w:p>
      <w:pPr>
        <w:pStyle w:val="2"/>
        <w:spacing w:before="7"/>
        <w:rPr>
          <w:rFonts w:ascii="黑体"/>
          <w:sz w:val="9"/>
        </w:rPr>
      </w:pPr>
    </w:p>
    <w:tbl>
      <w:tblPr>
        <w:tblStyle w:val="88"/>
        <w:tblW w:w="0" w:type="auto"/>
        <w:tblInd w:w="160" w:type="dxa"/>
        <w:tblLayout w:type="fixed"/>
        <w:tblCellMar>
          <w:top w:w="0" w:type="dxa"/>
          <w:left w:w="0" w:type="dxa"/>
          <w:bottom w:w="0" w:type="dxa"/>
          <w:right w:w="0" w:type="dxa"/>
        </w:tblCellMar>
      </w:tblPr>
      <w:tblGrid>
        <w:gridCol w:w="3189"/>
        <w:gridCol w:w="5021"/>
      </w:tblGrid>
      <w:tr>
        <w:tblPrEx>
          <w:tblCellMar>
            <w:top w:w="0" w:type="dxa"/>
            <w:left w:w="0" w:type="dxa"/>
            <w:bottom w:w="0" w:type="dxa"/>
            <w:right w:w="0" w:type="dxa"/>
          </w:tblCellMar>
        </w:tblPrEx>
        <w:trPr>
          <w:trHeight w:val="1871" w:hRule="atLeast"/>
        </w:trPr>
        <w:tc>
          <w:tcPr>
            <w:tcW w:w="3189" w:type="dxa"/>
            <w:tcBorders>
              <w:top w:val="single" w:color="000000" w:sz="4" w:space="0"/>
              <w:left w:val="single" w:color="000000" w:sz="4" w:space="0"/>
            </w:tcBorders>
          </w:tcPr>
          <w:p>
            <w:pPr>
              <w:pStyle w:val="270"/>
              <w:spacing w:before="132"/>
              <w:rPr>
                <w:sz w:val="28"/>
              </w:rPr>
            </w:pPr>
            <w:r>
              <w:rPr>
                <w:rFonts w:hint="eastAsia"/>
                <w:sz w:val="28"/>
              </w:rPr>
              <w:t>学校意见：</w:t>
            </w:r>
          </w:p>
        </w:tc>
        <w:tc>
          <w:tcPr>
            <w:tcW w:w="5021" w:type="dxa"/>
            <w:tcBorders>
              <w:top w:val="single" w:color="000000" w:sz="4" w:space="0"/>
              <w:right w:val="single" w:color="000000" w:sz="4" w:space="0"/>
            </w:tcBorders>
          </w:tcPr>
          <w:p>
            <w:pPr>
              <w:pStyle w:val="270"/>
              <w:rPr>
                <w:rFonts w:ascii="Times New Roman"/>
                <w:sz w:val="28"/>
              </w:rPr>
            </w:pPr>
          </w:p>
        </w:tc>
      </w:tr>
      <w:tr>
        <w:tblPrEx>
          <w:tblCellMar>
            <w:top w:w="0" w:type="dxa"/>
            <w:left w:w="0" w:type="dxa"/>
            <w:bottom w:w="0" w:type="dxa"/>
            <w:right w:w="0" w:type="dxa"/>
          </w:tblCellMar>
        </w:tblPrEx>
        <w:trPr>
          <w:trHeight w:val="1872" w:hRule="atLeast"/>
        </w:trPr>
        <w:tc>
          <w:tcPr>
            <w:tcW w:w="3189" w:type="dxa"/>
            <w:tcBorders>
              <w:left w:val="single" w:color="000000" w:sz="4" w:space="0"/>
            </w:tcBorders>
          </w:tcPr>
          <w:p>
            <w:pPr>
              <w:pStyle w:val="270"/>
              <w:rPr>
                <w:rFonts w:ascii="Times New Roman"/>
                <w:sz w:val="28"/>
              </w:rPr>
            </w:pPr>
          </w:p>
        </w:tc>
        <w:tc>
          <w:tcPr>
            <w:tcW w:w="5021" w:type="dxa"/>
            <w:tcBorders>
              <w:right w:val="single" w:color="000000" w:sz="4" w:space="0"/>
            </w:tcBorders>
          </w:tcPr>
          <w:p>
            <w:pPr>
              <w:pStyle w:val="270"/>
              <w:rPr>
                <w:rFonts w:ascii="黑体"/>
                <w:sz w:val="28"/>
              </w:rPr>
            </w:pPr>
          </w:p>
          <w:p>
            <w:pPr>
              <w:pStyle w:val="270"/>
              <w:rPr>
                <w:rFonts w:ascii="黑体"/>
                <w:sz w:val="28"/>
              </w:rPr>
            </w:pPr>
          </w:p>
          <w:p>
            <w:pPr>
              <w:pStyle w:val="270"/>
              <w:rPr>
                <w:rFonts w:ascii="黑体"/>
                <w:sz w:val="28"/>
              </w:rPr>
            </w:pPr>
          </w:p>
          <w:p>
            <w:pPr>
              <w:pStyle w:val="270"/>
              <w:spacing w:before="10"/>
              <w:rPr>
                <w:rFonts w:ascii="黑体"/>
                <w:sz w:val="23"/>
              </w:rPr>
            </w:pPr>
          </w:p>
          <w:p>
            <w:pPr>
              <w:pStyle w:val="270"/>
              <w:rPr>
                <w:sz w:val="28"/>
              </w:rPr>
            </w:pPr>
            <w:r>
              <w:rPr>
                <w:rFonts w:hint="eastAsia"/>
                <w:sz w:val="28"/>
              </w:rPr>
              <w:t>校长（</w:t>
            </w:r>
            <w:r>
              <w:rPr>
                <w:rFonts w:hint="eastAsia"/>
                <w:spacing w:val="-2"/>
                <w:sz w:val="28"/>
              </w:rPr>
              <w:t>签字</w:t>
            </w:r>
            <w:r>
              <w:rPr>
                <w:rFonts w:hint="eastAsia"/>
                <w:spacing w:val="-142"/>
                <w:sz w:val="28"/>
              </w:rPr>
              <w:t>）</w:t>
            </w:r>
            <w:r>
              <w:rPr>
                <w:rFonts w:hint="eastAsia"/>
                <w:sz w:val="28"/>
              </w:rPr>
              <w:t>：</w:t>
            </w:r>
          </w:p>
        </w:tc>
      </w:tr>
      <w:tr>
        <w:tblPrEx>
          <w:tblCellMar>
            <w:top w:w="0" w:type="dxa"/>
            <w:left w:w="0" w:type="dxa"/>
            <w:bottom w:w="0" w:type="dxa"/>
            <w:right w:w="0" w:type="dxa"/>
          </w:tblCellMar>
        </w:tblPrEx>
        <w:trPr>
          <w:trHeight w:val="624" w:hRule="atLeast"/>
        </w:trPr>
        <w:tc>
          <w:tcPr>
            <w:tcW w:w="3189" w:type="dxa"/>
            <w:tcBorders>
              <w:left w:val="single" w:color="000000" w:sz="4" w:space="0"/>
            </w:tcBorders>
          </w:tcPr>
          <w:p>
            <w:pPr>
              <w:pStyle w:val="270"/>
              <w:rPr>
                <w:rFonts w:ascii="Times New Roman"/>
                <w:sz w:val="28"/>
              </w:rPr>
            </w:pPr>
          </w:p>
        </w:tc>
        <w:tc>
          <w:tcPr>
            <w:tcW w:w="5021" w:type="dxa"/>
            <w:tcBorders>
              <w:right w:val="single" w:color="000000" w:sz="4" w:space="0"/>
            </w:tcBorders>
          </w:tcPr>
          <w:p>
            <w:pPr>
              <w:pStyle w:val="270"/>
              <w:spacing w:before="133"/>
              <w:rPr>
                <w:sz w:val="28"/>
              </w:rPr>
            </w:pPr>
            <w:r>
              <w:rPr>
                <w:rFonts w:hint="eastAsia"/>
                <w:sz w:val="28"/>
              </w:rPr>
              <w:t>（学校公章）</w:t>
            </w:r>
          </w:p>
        </w:tc>
      </w:tr>
      <w:tr>
        <w:tblPrEx>
          <w:tblCellMar>
            <w:top w:w="0" w:type="dxa"/>
            <w:left w:w="0" w:type="dxa"/>
            <w:bottom w:w="0" w:type="dxa"/>
            <w:right w:w="0" w:type="dxa"/>
          </w:tblCellMar>
        </w:tblPrEx>
        <w:trPr>
          <w:trHeight w:val="623" w:hRule="atLeast"/>
        </w:trPr>
        <w:tc>
          <w:tcPr>
            <w:tcW w:w="3189" w:type="dxa"/>
            <w:tcBorders>
              <w:left w:val="single" w:color="000000" w:sz="4" w:space="0"/>
              <w:bottom w:val="single" w:color="000000" w:sz="4" w:space="0"/>
            </w:tcBorders>
          </w:tcPr>
          <w:p>
            <w:pPr>
              <w:pStyle w:val="270"/>
              <w:rPr>
                <w:rFonts w:ascii="Times New Roman"/>
                <w:sz w:val="28"/>
              </w:rPr>
            </w:pPr>
          </w:p>
        </w:tc>
        <w:tc>
          <w:tcPr>
            <w:tcW w:w="5021" w:type="dxa"/>
            <w:tcBorders>
              <w:bottom w:val="single" w:color="000000" w:sz="4" w:space="0"/>
              <w:right w:val="single" w:color="000000" w:sz="4" w:space="0"/>
            </w:tcBorders>
          </w:tcPr>
          <w:p>
            <w:pPr>
              <w:pStyle w:val="270"/>
              <w:tabs>
                <w:tab w:val="left" w:pos="2243"/>
                <w:tab w:val="left" w:pos="2804"/>
              </w:tabs>
              <w:spacing w:before="133"/>
              <w:rPr>
                <w:sz w:val="28"/>
              </w:rPr>
            </w:pPr>
            <w:r>
              <w:rPr>
                <w:rFonts w:hint="eastAsia"/>
                <w:sz w:val="28"/>
              </w:rPr>
              <w:t>年</w:t>
            </w:r>
            <w:r>
              <w:rPr>
                <w:sz w:val="28"/>
              </w:rPr>
              <w:tab/>
            </w:r>
            <w:r>
              <w:rPr>
                <w:rFonts w:hint="eastAsia"/>
                <w:sz w:val="28"/>
              </w:rPr>
              <w:t>月</w:t>
            </w:r>
            <w:r>
              <w:rPr>
                <w:sz w:val="28"/>
              </w:rPr>
              <w:tab/>
            </w:r>
            <w:r>
              <w:rPr>
                <w:rFonts w:hint="eastAsia"/>
                <w:sz w:val="28"/>
              </w:rPr>
              <w:t>日</w:t>
            </w:r>
          </w:p>
        </w:tc>
      </w:tr>
      <w:tr>
        <w:tblPrEx>
          <w:tblCellMar>
            <w:top w:w="0" w:type="dxa"/>
            <w:left w:w="0" w:type="dxa"/>
            <w:bottom w:w="0" w:type="dxa"/>
            <w:right w:w="0" w:type="dxa"/>
          </w:tblCellMar>
        </w:tblPrEx>
        <w:trPr>
          <w:trHeight w:val="7801" w:hRule="atLeast"/>
        </w:trPr>
        <w:tc>
          <w:tcPr>
            <w:tcW w:w="8210" w:type="dxa"/>
            <w:gridSpan w:val="2"/>
            <w:tcBorders>
              <w:top w:val="single" w:color="000000" w:sz="4" w:space="0"/>
              <w:left w:val="single" w:color="000000" w:sz="4" w:space="0"/>
              <w:bottom w:val="single" w:color="000000" w:sz="4" w:space="0"/>
              <w:right w:val="single" w:color="000000" w:sz="4" w:space="0"/>
            </w:tcBorders>
          </w:tcPr>
          <w:p>
            <w:pPr>
              <w:pStyle w:val="270"/>
              <w:spacing w:before="8"/>
              <w:rPr>
                <w:rFonts w:ascii="黑体"/>
                <w:sz w:val="34"/>
              </w:rPr>
            </w:pPr>
          </w:p>
          <w:p>
            <w:pPr>
              <w:pStyle w:val="270"/>
              <w:spacing w:before="1"/>
              <w:rPr>
                <w:sz w:val="28"/>
              </w:rPr>
            </w:pPr>
            <w:r>
              <w:rPr>
                <w:rFonts w:hint="eastAsia"/>
                <w:sz w:val="28"/>
              </w:rPr>
              <w:t>安徽省教育厅意见：</w:t>
            </w:r>
          </w:p>
          <w:p>
            <w:pPr>
              <w:pStyle w:val="270"/>
              <w:rPr>
                <w:rFonts w:ascii="黑体"/>
                <w:sz w:val="28"/>
              </w:rPr>
            </w:pPr>
          </w:p>
          <w:p>
            <w:pPr>
              <w:pStyle w:val="270"/>
              <w:rPr>
                <w:rFonts w:ascii="黑体"/>
                <w:sz w:val="28"/>
              </w:rPr>
            </w:pPr>
          </w:p>
          <w:p>
            <w:pPr>
              <w:pStyle w:val="270"/>
              <w:rPr>
                <w:rFonts w:ascii="黑体"/>
                <w:sz w:val="28"/>
              </w:rPr>
            </w:pPr>
          </w:p>
          <w:p>
            <w:pPr>
              <w:pStyle w:val="270"/>
              <w:rPr>
                <w:rFonts w:ascii="黑体"/>
                <w:sz w:val="28"/>
              </w:rPr>
            </w:pPr>
          </w:p>
          <w:p>
            <w:pPr>
              <w:pStyle w:val="270"/>
              <w:rPr>
                <w:rFonts w:ascii="黑体"/>
                <w:sz w:val="28"/>
              </w:rPr>
            </w:pPr>
          </w:p>
          <w:p>
            <w:pPr>
              <w:pStyle w:val="270"/>
              <w:rPr>
                <w:rFonts w:ascii="黑体"/>
                <w:sz w:val="28"/>
              </w:rPr>
            </w:pPr>
          </w:p>
          <w:p>
            <w:pPr>
              <w:pStyle w:val="270"/>
              <w:rPr>
                <w:rFonts w:ascii="黑体"/>
                <w:sz w:val="28"/>
              </w:rPr>
            </w:pPr>
          </w:p>
          <w:p>
            <w:pPr>
              <w:pStyle w:val="270"/>
              <w:rPr>
                <w:rFonts w:ascii="黑体"/>
                <w:sz w:val="28"/>
              </w:rPr>
            </w:pPr>
          </w:p>
          <w:p>
            <w:pPr>
              <w:pStyle w:val="270"/>
              <w:rPr>
                <w:rFonts w:ascii="黑体"/>
                <w:sz w:val="28"/>
              </w:rPr>
            </w:pPr>
          </w:p>
          <w:p>
            <w:pPr>
              <w:pStyle w:val="270"/>
              <w:rPr>
                <w:rFonts w:ascii="黑体"/>
                <w:sz w:val="28"/>
              </w:rPr>
            </w:pPr>
          </w:p>
          <w:p>
            <w:pPr>
              <w:pStyle w:val="270"/>
              <w:rPr>
                <w:rFonts w:ascii="黑体"/>
                <w:sz w:val="28"/>
              </w:rPr>
            </w:pPr>
          </w:p>
          <w:p>
            <w:pPr>
              <w:pStyle w:val="270"/>
              <w:rPr>
                <w:rFonts w:ascii="黑体"/>
                <w:sz w:val="28"/>
              </w:rPr>
            </w:pPr>
          </w:p>
          <w:p>
            <w:pPr>
              <w:pStyle w:val="270"/>
              <w:rPr>
                <w:rFonts w:ascii="黑体"/>
                <w:sz w:val="28"/>
              </w:rPr>
            </w:pPr>
          </w:p>
          <w:p>
            <w:pPr>
              <w:pStyle w:val="270"/>
              <w:rPr>
                <w:rFonts w:ascii="黑体"/>
                <w:sz w:val="28"/>
              </w:rPr>
            </w:pPr>
          </w:p>
          <w:p>
            <w:pPr>
              <w:pStyle w:val="270"/>
              <w:spacing w:before="235"/>
              <w:rPr>
                <w:sz w:val="28"/>
              </w:rPr>
            </w:pPr>
            <w:r>
              <w:rPr>
                <w:rFonts w:hint="eastAsia"/>
                <w:sz w:val="28"/>
              </w:rPr>
              <w:t>负责人</w:t>
            </w:r>
            <w:r>
              <w:rPr>
                <w:rFonts w:hint="eastAsia"/>
                <w:spacing w:val="-3"/>
                <w:sz w:val="28"/>
              </w:rPr>
              <w:t>（</w:t>
            </w:r>
            <w:r>
              <w:rPr>
                <w:rFonts w:hint="eastAsia"/>
                <w:spacing w:val="-2"/>
                <w:sz w:val="28"/>
              </w:rPr>
              <w:t>签字</w:t>
            </w:r>
            <w:r>
              <w:rPr>
                <w:rFonts w:hint="eastAsia"/>
                <w:spacing w:val="-140"/>
                <w:sz w:val="28"/>
              </w:rPr>
              <w:t>）</w:t>
            </w:r>
            <w:r>
              <w:rPr>
                <w:rFonts w:hint="eastAsia"/>
                <w:sz w:val="28"/>
              </w:rPr>
              <w:t>：</w:t>
            </w:r>
          </w:p>
          <w:p>
            <w:pPr>
              <w:pStyle w:val="270"/>
              <w:spacing w:before="9"/>
              <w:rPr>
                <w:rFonts w:ascii="黑体"/>
                <w:sz w:val="20"/>
              </w:rPr>
            </w:pPr>
          </w:p>
          <w:p>
            <w:pPr>
              <w:pStyle w:val="270"/>
              <w:rPr>
                <w:sz w:val="28"/>
              </w:rPr>
            </w:pPr>
            <w:r>
              <w:rPr>
                <w:rFonts w:hint="eastAsia"/>
                <w:sz w:val="28"/>
              </w:rPr>
              <w:t>（单位公章）</w:t>
            </w:r>
          </w:p>
          <w:p>
            <w:pPr>
              <w:pStyle w:val="270"/>
              <w:spacing w:before="9"/>
              <w:rPr>
                <w:rFonts w:ascii="黑体"/>
                <w:sz w:val="20"/>
              </w:rPr>
            </w:pPr>
          </w:p>
          <w:p>
            <w:pPr>
              <w:pStyle w:val="270"/>
              <w:jc w:val="right"/>
              <w:rPr>
                <w:sz w:val="28"/>
              </w:rPr>
            </w:pPr>
            <w:r>
              <w:rPr>
                <w:rFonts w:hint="eastAsia"/>
                <w:sz w:val="28"/>
              </w:rPr>
              <w:t>年月日</w:t>
            </w:r>
          </w:p>
        </w:tc>
      </w:tr>
    </w:tbl>
    <w:p>
      <w:pPr>
        <w:jc w:val="right"/>
        <w:rPr>
          <w:sz w:val="28"/>
        </w:rPr>
        <w:sectPr>
          <w:pgSz w:w="11910" w:h="16840"/>
          <w:pgMar w:top="1500" w:right="1400" w:bottom="1380" w:left="1680" w:header="0" w:footer="1195" w:gutter="0"/>
          <w:cols w:space="720" w:num="1"/>
        </w:sectPr>
      </w:pPr>
    </w:p>
    <w:p>
      <w:pPr>
        <w:pStyle w:val="5"/>
        <w:rPr>
          <w:b w:val="0"/>
          <w:bCs w:val="0"/>
        </w:rPr>
      </w:pPr>
      <w:bookmarkStart w:id="29" w:name="_Toc124775251"/>
      <w:r>
        <w:rPr>
          <w:rFonts w:hint="eastAsia"/>
        </w:rPr>
        <w:t>附件</w:t>
      </w:r>
      <w:r>
        <w:t>2</w:t>
      </w:r>
      <w:r>
        <w:rPr>
          <w:rFonts w:hint="eastAsia"/>
        </w:rPr>
        <w:t>：上一轮审核评估《整改情况说明》撰写指导</w:t>
      </w:r>
      <w:bookmarkEnd w:id="29"/>
    </w:p>
    <w:p>
      <w:pPr>
        <w:pStyle w:val="2"/>
        <w:spacing w:before="3"/>
        <w:rPr>
          <w:rFonts w:ascii="黑体"/>
          <w:sz w:val="33"/>
        </w:rPr>
      </w:pPr>
    </w:p>
    <w:p>
      <w:pPr>
        <w:spacing w:line="472" w:lineRule="auto"/>
        <w:ind w:left="1105" w:hanging="1105"/>
        <w:jc w:val="center"/>
        <w:rPr>
          <w:rFonts w:ascii="黑体" w:hAnsi="黑体" w:eastAsia="黑体"/>
          <w:b/>
          <w:sz w:val="36"/>
          <w:szCs w:val="36"/>
        </w:rPr>
      </w:pPr>
      <w:r>
        <w:rPr>
          <w:rFonts w:hint="eastAsia" w:ascii="黑体" w:hAnsi="黑体" w:eastAsia="黑体"/>
          <w:b/>
          <w:sz w:val="36"/>
          <w:szCs w:val="36"/>
        </w:rPr>
        <w:t>上一轮审核评估整改情况</w:t>
      </w:r>
    </w:p>
    <w:p>
      <w:pPr>
        <w:spacing w:line="472" w:lineRule="auto"/>
        <w:ind w:left="1105" w:hanging="1105"/>
        <w:jc w:val="center"/>
      </w:pPr>
      <w:r>
        <w:rPr>
          <w:rFonts w:hint="eastAsia" w:ascii="黑体" w:hAnsi="黑体" w:eastAsia="黑体"/>
          <w:b/>
          <w:sz w:val="44"/>
        </w:rPr>
        <w:t>说明ⅹⅹⅹ大学</w:t>
      </w:r>
    </w:p>
    <w:p>
      <w:pPr>
        <w:tabs>
          <w:tab w:val="left" w:pos="1083"/>
        </w:tabs>
        <w:spacing w:before="1" w:line="600" w:lineRule="exact"/>
        <w:ind w:firstLine="640" w:firstLineChars="200"/>
      </w:pPr>
      <w:r>
        <w:rPr>
          <w:rFonts w:ascii="黑体" w:hAnsi="黑体" w:eastAsia="黑体" w:cs="黑体"/>
          <w:sz w:val="32"/>
        </w:rPr>
        <w:t>1.</w:t>
      </w:r>
      <w:r>
        <w:rPr>
          <w:rFonts w:hint="eastAsia" w:ascii="黑体" w:hAnsi="黑体" w:eastAsia="黑体" w:cs="黑体"/>
          <w:sz w:val="32"/>
        </w:rPr>
        <w:t>学校参加上一轮评估情况概况</w:t>
      </w:r>
    </w:p>
    <w:p>
      <w:pPr>
        <w:adjustRightInd w:val="0"/>
        <w:rPr>
          <w:rFonts w:ascii="仿宋" w:hAnsi="仿宋" w:eastAsia="仿宋" w:cs="FZFSK--GBK1-0"/>
          <w:sz w:val="28"/>
          <w:szCs w:val="28"/>
        </w:rPr>
      </w:pPr>
      <w:r>
        <w:rPr>
          <w:rFonts w:ascii="仿宋" w:hAnsi="仿宋" w:eastAsia="仿宋" w:cs="FZFSK--GBK1-0"/>
          <w:sz w:val="28"/>
          <w:szCs w:val="28"/>
        </w:rPr>
        <w:t xml:space="preserve">     </w:t>
      </w:r>
      <w:r>
        <w:rPr>
          <w:rFonts w:hint="eastAsia" w:ascii="仿宋" w:hAnsi="仿宋" w:eastAsia="仿宋" w:cs="FZFSK--GBK1-0"/>
          <w:sz w:val="28"/>
          <w:szCs w:val="28"/>
        </w:rPr>
        <w:t>简要说明学校上一轮参加评估情况，须写明评估的类型（审核评估</w:t>
      </w:r>
      <w:r>
        <w:rPr>
          <w:rFonts w:ascii="仿宋" w:hAnsi="仿宋" w:eastAsia="仿宋" w:cs="FZFSK--GBK1-0"/>
          <w:sz w:val="28"/>
          <w:szCs w:val="28"/>
        </w:rPr>
        <w:t>/</w:t>
      </w:r>
      <w:r>
        <w:rPr>
          <w:rFonts w:hint="eastAsia" w:ascii="仿宋" w:hAnsi="仿宋" w:eastAsia="仿宋" w:cs="FZFSK--GBK1-0"/>
          <w:sz w:val="28"/>
          <w:szCs w:val="28"/>
        </w:rPr>
        <w:t>合格评估）、接受专家组入校评估时间（年、月）；评估专家组组长及专家人数等。</w:t>
      </w:r>
    </w:p>
    <w:p>
      <w:pPr>
        <w:spacing w:before="2" w:line="600" w:lineRule="exact"/>
        <w:ind w:firstLine="640" w:firstLineChars="200"/>
      </w:pPr>
      <w:r>
        <w:rPr>
          <w:rFonts w:ascii="黑体" w:hAnsi="黑体" w:eastAsia="黑体" w:cs="黑体"/>
          <w:sz w:val="32"/>
        </w:rPr>
        <w:t>2.</w:t>
      </w:r>
      <w:r>
        <w:rPr>
          <w:rFonts w:hint="eastAsia" w:ascii="黑体" w:hAnsi="黑体" w:eastAsia="黑体" w:cs="黑体"/>
          <w:sz w:val="32"/>
        </w:rPr>
        <w:t>学校需要整改的问题</w:t>
      </w:r>
    </w:p>
    <w:p>
      <w:pPr>
        <w:adjustRightInd w:val="0"/>
        <w:rPr>
          <w:rFonts w:ascii="仿宋" w:hAnsi="仿宋" w:eastAsia="仿宋" w:cs="FZFSK--GBK1-0"/>
          <w:sz w:val="28"/>
          <w:szCs w:val="28"/>
        </w:rPr>
      </w:pPr>
      <w:r>
        <w:rPr>
          <w:rFonts w:ascii="仿宋" w:hAnsi="仿宋" w:eastAsia="仿宋" w:cs="FZFSK--GBK1-0"/>
          <w:sz w:val="28"/>
          <w:szCs w:val="28"/>
        </w:rPr>
        <w:t xml:space="preserve">    </w:t>
      </w:r>
      <w:r>
        <w:rPr>
          <w:rFonts w:hint="eastAsia" w:ascii="仿宋" w:hAnsi="仿宋" w:eastAsia="仿宋" w:cs="FZFSK--GBK1-0"/>
          <w:sz w:val="28"/>
          <w:szCs w:val="28"/>
        </w:rPr>
        <w:t>概括性地说明审核评估（合格评估）学校自评、评估报告以及专家反馈的主要问题和提出的意见建议。</w:t>
      </w:r>
    </w:p>
    <w:p>
      <w:pPr>
        <w:spacing w:before="2" w:line="600" w:lineRule="exact"/>
        <w:ind w:firstLine="640" w:firstLineChars="200"/>
      </w:pPr>
      <w:r>
        <w:rPr>
          <w:rFonts w:ascii="黑体" w:hAnsi="黑体" w:eastAsia="黑体" w:cs="黑体"/>
          <w:sz w:val="32"/>
        </w:rPr>
        <w:t>3.</w:t>
      </w:r>
      <w:r>
        <w:rPr>
          <w:rFonts w:hint="eastAsia" w:ascii="黑体" w:hAnsi="黑体" w:eastAsia="黑体" w:cs="黑体"/>
          <w:sz w:val="32"/>
        </w:rPr>
        <w:t>学校评估整改情况</w:t>
      </w:r>
    </w:p>
    <w:p>
      <w:pPr>
        <w:adjustRightInd w:val="0"/>
        <w:rPr>
          <w:rFonts w:ascii="仿宋" w:hAnsi="仿宋" w:eastAsia="仿宋" w:cs="FZFSK--GBK1-0"/>
          <w:sz w:val="28"/>
          <w:szCs w:val="28"/>
        </w:rPr>
      </w:pPr>
      <w:r>
        <w:rPr>
          <w:rFonts w:ascii="仿宋" w:hAnsi="仿宋" w:eastAsia="仿宋" w:cs="FZFSK--GBK1-0"/>
          <w:sz w:val="28"/>
          <w:szCs w:val="28"/>
        </w:rPr>
        <w:t xml:space="preserve">    </w:t>
      </w:r>
      <w:r>
        <w:rPr>
          <w:rFonts w:hint="eastAsia" w:ascii="仿宋" w:hAnsi="仿宋" w:eastAsia="仿宋" w:cs="FZFSK--GBK1-0"/>
          <w:sz w:val="28"/>
          <w:szCs w:val="28"/>
        </w:rPr>
        <w:t>⑴整改工作开展情况。简要说明学校评估整改工作开展情况，包括整改工作目标、整改工作的组织、整体安排等；</w:t>
      </w:r>
    </w:p>
    <w:p>
      <w:pPr>
        <w:adjustRightInd w:val="0"/>
        <w:rPr>
          <w:rFonts w:ascii="仿宋" w:hAnsi="仿宋" w:eastAsia="仿宋" w:cs="FZFSK--GBK1-0"/>
          <w:sz w:val="28"/>
          <w:szCs w:val="28"/>
        </w:rPr>
      </w:pPr>
      <w:r>
        <w:rPr>
          <w:rFonts w:ascii="仿宋" w:hAnsi="仿宋" w:eastAsia="仿宋" w:cs="FZFSK--GBK1-0"/>
          <w:sz w:val="28"/>
          <w:szCs w:val="28"/>
        </w:rPr>
        <w:t xml:space="preserve">    </w:t>
      </w:r>
      <w:r>
        <w:rPr>
          <w:rFonts w:hint="eastAsia" w:ascii="仿宋" w:hAnsi="仿宋" w:eastAsia="仿宋" w:cs="FZFSK--GBK1-0"/>
          <w:sz w:val="28"/>
          <w:szCs w:val="28"/>
        </w:rPr>
        <w:t>⑵整改工作主要举措。说明学校有效落实整改工作任务所采取的主要举措，特别是所建立的体制、机制等。整改举措要写实，突出重点，简洁清晰。</w:t>
      </w:r>
    </w:p>
    <w:p>
      <w:pPr>
        <w:spacing w:before="2"/>
        <w:ind w:firstLine="640"/>
        <w:rPr>
          <w:rFonts w:ascii="仿宋" w:hAnsi="仿宋" w:eastAsia="仿宋" w:cs="FZFSK--GBK1-0"/>
          <w:sz w:val="28"/>
          <w:szCs w:val="28"/>
        </w:rPr>
      </w:pPr>
      <w:r>
        <w:rPr>
          <w:rFonts w:ascii="黑体" w:hAnsi="黑体" w:eastAsia="黑体" w:cs="黑体"/>
          <w:sz w:val="32"/>
        </w:rPr>
        <w:t>4.</w:t>
      </w:r>
      <w:r>
        <w:rPr>
          <w:rFonts w:hint="eastAsia" w:ascii="黑体" w:hAnsi="黑体" w:eastAsia="黑体" w:cs="黑体"/>
          <w:sz w:val="32"/>
        </w:rPr>
        <w:t>学校整改工作成效</w:t>
      </w:r>
    </w:p>
    <w:p>
      <w:pPr>
        <w:spacing w:before="2"/>
        <w:ind w:firstLine="640"/>
        <w:rPr>
          <w:rFonts w:ascii="仿宋" w:hAnsi="仿宋" w:eastAsia="仿宋" w:cs="FZFSK--GBK1-0"/>
          <w:sz w:val="28"/>
          <w:szCs w:val="28"/>
        </w:rPr>
        <w:sectPr>
          <w:footerReference r:id="rId5" w:type="default"/>
          <w:pgSz w:w="11910" w:h="16840"/>
          <w:pgMar w:top="1420" w:right="1400" w:bottom="1420" w:left="1680" w:header="0" w:footer="1231" w:gutter="0"/>
          <w:cols w:space="720" w:num="1"/>
        </w:sectPr>
      </w:pPr>
      <w:r>
        <w:rPr>
          <w:rFonts w:hint="eastAsia" w:ascii="仿宋" w:hAnsi="仿宋" w:eastAsia="仿宋" w:cs="FZFSK--GBK1-0"/>
          <w:sz w:val="28"/>
          <w:szCs w:val="28"/>
        </w:rPr>
        <w:t>围绕整改工作目标达成，说明学校将评估整改应用于持续改进的实质性效果。整改成效可以包括工作机制（教学过程质量监控机制、毕业要求达成情况评价机制、培养目标达成评价机制等）的建设与落实、人才培养质量提升等。（备注：总字数限制在</w:t>
      </w:r>
      <w:r>
        <w:rPr>
          <w:rFonts w:ascii="仿宋" w:hAnsi="仿宋" w:eastAsia="仿宋" w:cs="FZFSK--GBK1-0"/>
          <w:sz w:val="28"/>
          <w:szCs w:val="28"/>
        </w:rPr>
        <w:t>3000</w:t>
      </w:r>
      <w:r>
        <w:rPr>
          <w:rFonts w:hint="eastAsia" w:ascii="仿宋" w:hAnsi="仿宋" w:eastAsia="仿宋" w:cs="FZFSK--GBK1-0"/>
          <w:sz w:val="28"/>
          <w:szCs w:val="28"/>
        </w:rPr>
        <w:t>字以内。）</w:t>
      </w:r>
    </w:p>
    <w:p>
      <w:pPr>
        <w:pStyle w:val="5"/>
        <w:rPr>
          <w:b w:val="0"/>
          <w:bCs w:val="0"/>
          <w:sz w:val="24"/>
          <w:szCs w:val="24"/>
        </w:rPr>
      </w:pPr>
      <w:bookmarkStart w:id="30" w:name="_Toc124775252"/>
      <w:r>
        <w:rPr>
          <w:rFonts w:hint="eastAsia"/>
          <w:b w:val="0"/>
          <w:bCs w:val="0"/>
          <w:sz w:val="24"/>
          <w:szCs w:val="24"/>
        </w:rPr>
        <w:t>附件</w:t>
      </w:r>
      <w:r>
        <w:rPr>
          <w:b w:val="0"/>
          <w:bCs w:val="0"/>
          <w:sz w:val="24"/>
          <w:szCs w:val="24"/>
        </w:rPr>
        <w:t>3</w:t>
      </w:r>
      <w:r>
        <w:rPr>
          <w:rFonts w:hint="eastAsia"/>
          <w:b w:val="0"/>
          <w:bCs w:val="0"/>
          <w:sz w:val="24"/>
          <w:szCs w:val="24"/>
        </w:rPr>
        <w:t>：审核评估《自评报告》撰写指导</w:t>
      </w:r>
      <w:bookmarkEnd w:id="30"/>
    </w:p>
    <w:p>
      <w:pPr>
        <w:pStyle w:val="2"/>
        <w:rPr>
          <w:rFonts w:ascii="黑体"/>
          <w:sz w:val="20"/>
        </w:rPr>
      </w:pPr>
    </w:p>
    <w:p>
      <w:pPr>
        <w:pStyle w:val="2"/>
        <w:rPr>
          <w:rFonts w:ascii="黑体"/>
          <w:sz w:val="20"/>
        </w:rPr>
      </w:pPr>
    </w:p>
    <w:p>
      <w:pPr>
        <w:pStyle w:val="2"/>
        <w:spacing w:before="9"/>
        <w:rPr>
          <w:rFonts w:ascii="黑体"/>
          <w:sz w:val="17"/>
        </w:rPr>
      </w:pPr>
    </w:p>
    <w:p>
      <w:pPr>
        <w:spacing w:before="42" w:line="276" w:lineRule="auto"/>
        <w:ind w:left="2646" w:hanging="2646"/>
        <w:jc w:val="center"/>
        <w:rPr>
          <w:rFonts w:ascii="华文中宋" w:eastAsia="华文中宋"/>
          <w:b/>
          <w:sz w:val="44"/>
        </w:rPr>
      </w:pPr>
      <w:r>
        <w:rPr>
          <w:rFonts w:hint="eastAsia" w:ascii="华文中宋" w:eastAsia="华文中宋"/>
          <w:b/>
          <w:w w:val="95"/>
          <w:sz w:val="44"/>
        </w:rPr>
        <w:t>普通高等学校本科教育教学审核评估</w:t>
      </w:r>
      <w:r>
        <w:rPr>
          <w:rFonts w:hint="eastAsia" w:ascii="华文中宋" w:eastAsia="华文中宋"/>
          <w:b/>
          <w:sz w:val="44"/>
        </w:rPr>
        <w:t>自评报告</w:t>
      </w:r>
    </w:p>
    <w:p>
      <w:pPr>
        <w:pStyle w:val="2"/>
        <w:rPr>
          <w:b/>
          <w:sz w:val="32"/>
        </w:rPr>
      </w:pPr>
    </w:p>
    <w:p>
      <w:pPr>
        <w:pStyle w:val="2"/>
        <w:rPr>
          <w:b/>
          <w:sz w:val="32"/>
        </w:rPr>
      </w:pPr>
    </w:p>
    <w:p>
      <w:pPr>
        <w:pStyle w:val="2"/>
        <w:rPr>
          <w:b/>
          <w:sz w:val="32"/>
        </w:rPr>
      </w:pPr>
    </w:p>
    <w:p>
      <w:pPr>
        <w:pStyle w:val="2"/>
        <w:spacing w:before="4"/>
        <w:rPr>
          <w:b/>
          <w:sz w:val="39"/>
        </w:rPr>
      </w:pPr>
    </w:p>
    <w:p>
      <w:pPr>
        <w:jc w:val="center"/>
        <w:rPr>
          <w:rFonts w:ascii="黑体" w:eastAsia="黑体"/>
          <w:sz w:val="32"/>
        </w:rPr>
      </w:pPr>
      <w:r>
        <w:rPr>
          <w:rFonts w:ascii="黑体" w:eastAsia="黑体"/>
          <w:sz w:val="32"/>
        </w:rPr>
        <w:t>&lt;</w:t>
      </w:r>
      <w:r>
        <w:rPr>
          <w:rFonts w:hint="eastAsia" w:ascii="黑体" w:eastAsia="黑体"/>
          <w:sz w:val="32"/>
        </w:rPr>
        <w:t>可以插入学校的</w:t>
      </w:r>
      <w:r>
        <w:rPr>
          <w:rFonts w:ascii="黑体" w:eastAsia="黑体"/>
          <w:sz w:val="32"/>
        </w:rPr>
        <w:t>logo&gt;</w:t>
      </w:r>
    </w:p>
    <w:p>
      <w:pPr>
        <w:pStyle w:val="2"/>
        <w:rPr>
          <w:rFonts w:ascii="黑体"/>
          <w:sz w:val="32"/>
        </w:rPr>
      </w:pPr>
    </w:p>
    <w:p>
      <w:pPr>
        <w:pStyle w:val="2"/>
        <w:rPr>
          <w:rFonts w:ascii="黑体"/>
          <w:sz w:val="32"/>
        </w:rPr>
      </w:pPr>
    </w:p>
    <w:p>
      <w:pPr>
        <w:pStyle w:val="2"/>
        <w:rPr>
          <w:rFonts w:ascii="黑体"/>
          <w:sz w:val="32"/>
        </w:rPr>
      </w:pPr>
    </w:p>
    <w:tbl>
      <w:tblPr>
        <w:tblStyle w:val="88"/>
        <w:tblW w:w="0" w:type="auto"/>
        <w:tblInd w:w="-108" w:type="dxa"/>
        <w:tblLayout w:type="fixed"/>
        <w:tblCellMar>
          <w:top w:w="0" w:type="dxa"/>
          <w:left w:w="108" w:type="dxa"/>
          <w:bottom w:w="0" w:type="dxa"/>
          <w:right w:w="108" w:type="dxa"/>
        </w:tblCellMar>
      </w:tblPr>
      <w:tblGrid>
        <w:gridCol w:w="3256"/>
        <w:gridCol w:w="5564"/>
      </w:tblGrid>
      <w:tr>
        <w:tblPrEx>
          <w:tblCellMar>
            <w:top w:w="0" w:type="dxa"/>
            <w:left w:w="108" w:type="dxa"/>
            <w:bottom w:w="0" w:type="dxa"/>
            <w:right w:w="108" w:type="dxa"/>
          </w:tblCellMar>
        </w:tblPrEx>
        <w:tc>
          <w:tcPr>
            <w:tcW w:w="3256" w:type="dxa"/>
          </w:tcPr>
          <w:p>
            <w:pPr>
              <w:pStyle w:val="2"/>
              <w:spacing w:line="480" w:lineRule="auto"/>
              <w:rPr>
                <w:rFonts w:ascii="黑体"/>
                <w:kern w:val="2"/>
                <w:sz w:val="32"/>
                <w:szCs w:val="22"/>
              </w:rPr>
            </w:pPr>
            <w:r>
              <w:rPr>
                <w:rFonts w:hint="eastAsia" w:ascii="黑体"/>
                <w:kern w:val="2"/>
                <w:sz w:val="32"/>
                <w:szCs w:val="22"/>
              </w:rPr>
              <w:t>学校名称（公章）：</w:t>
            </w:r>
          </w:p>
          <w:p>
            <w:pPr>
              <w:pStyle w:val="2"/>
              <w:spacing w:line="480" w:lineRule="auto"/>
              <w:rPr>
                <w:rFonts w:ascii="黑体"/>
                <w:spacing w:val="-4"/>
                <w:kern w:val="2"/>
                <w:sz w:val="32"/>
                <w:szCs w:val="22"/>
              </w:rPr>
            </w:pPr>
            <w:r>
              <w:rPr>
                <w:rFonts w:ascii="黑体"/>
                <w:kern w:val="2"/>
                <w:sz w:val="32"/>
                <w:szCs w:val="22"/>
              </w:rPr>
              <w:t xml:space="preserve">      </w:t>
            </w:r>
            <w:r>
              <w:rPr>
                <w:rFonts w:hint="eastAsia" w:ascii="黑体"/>
                <w:kern w:val="2"/>
                <w:sz w:val="32"/>
                <w:szCs w:val="22"/>
              </w:rPr>
              <w:t>学校联系人：</w:t>
            </w:r>
          </w:p>
          <w:p>
            <w:pPr>
              <w:pStyle w:val="2"/>
              <w:spacing w:line="480" w:lineRule="auto"/>
              <w:rPr>
                <w:rFonts w:ascii="黑体"/>
                <w:spacing w:val="-4"/>
                <w:kern w:val="2"/>
                <w:sz w:val="32"/>
                <w:szCs w:val="22"/>
              </w:rPr>
            </w:pPr>
            <w:r>
              <w:rPr>
                <w:rFonts w:ascii="黑体"/>
                <w:spacing w:val="-4"/>
                <w:kern w:val="2"/>
                <w:sz w:val="32"/>
                <w:szCs w:val="22"/>
              </w:rPr>
              <w:t xml:space="preserve">        </w:t>
            </w:r>
            <w:r>
              <w:rPr>
                <w:rFonts w:hint="eastAsia" w:ascii="黑体"/>
                <w:spacing w:val="-4"/>
                <w:kern w:val="2"/>
                <w:sz w:val="32"/>
                <w:szCs w:val="22"/>
              </w:rPr>
              <w:t>联系电话：</w:t>
            </w:r>
          </w:p>
          <w:p>
            <w:pPr>
              <w:pStyle w:val="2"/>
              <w:spacing w:line="480" w:lineRule="auto"/>
              <w:rPr>
                <w:rFonts w:ascii="黑体"/>
                <w:spacing w:val="-4"/>
                <w:kern w:val="2"/>
                <w:sz w:val="32"/>
                <w:szCs w:val="22"/>
              </w:rPr>
            </w:pPr>
            <w:r>
              <w:rPr>
                <w:rFonts w:ascii="黑体"/>
                <w:spacing w:val="-4"/>
                <w:kern w:val="2"/>
                <w:sz w:val="32"/>
                <w:szCs w:val="22"/>
              </w:rPr>
              <w:t xml:space="preserve">        </w:t>
            </w:r>
            <w:r>
              <w:rPr>
                <w:rFonts w:hint="eastAsia" w:ascii="黑体"/>
                <w:spacing w:val="-4"/>
                <w:kern w:val="2"/>
                <w:sz w:val="32"/>
                <w:szCs w:val="22"/>
              </w:rPr>
              <w:t>联系邮箱：</w:t>
            </w:r>
          </w:p>
          <w:p>
            <w:pPr>
              <w:pStyle w:val="2"/>
              <w:spacing w:line="480" w:lineRule="auto"/>
              <w:rPr>
                <w:rFonts w:ascii="黑体"/>
                <w:kern w:val="2"/>
                <w:sz w:val="32"/>
                <w:szCs w:val="22"/>
              </w:rPr>
            </w:pPr>
            <w:r>
              <w:rPr>
                <w:rFonts w:hint="eastAsia" w:ascii="黑体"/>
                <w:kern w:val="2"/>
                <w:sz w:val="32"/>
                <w:szCs w:val="22"/>
              </w:rPr>
              <w:t>学校校长（签字）：</w:t>
            </w:r>
          </w:p>
          <w:p>
            <w:pPr>
              <w:pStyle w:val="2"/>
              <w:spacing w:line="480" w:lineRule="auto"/>
              <w:rPr>
                <w:rFonts w:ascii="黑体"/>
                <w:kern w:val="2"/>
                <w:sz w:val="32"/>
                <w:szCs w:val="22"/>
              </w:rPr>
            </w:pPr>
            <w:r>
              <w:rPr>
                <w:rFonts w:ascii="黑体"/>
                <w:kern w:val="2"/>
                <w:sz w:val="32"/>
                <w:szCs w:val="22"/>
              </w:rPr>
              <w:t xml:space="preserve">        </w:t>
            </w:r>
            <w:r>
              <w:rPr>
                <w:rFonts w:hint="eastAsia" w:ascii="黑体"/>
                <w:kern w:val="2"/>
                <w:sz w:val="32"/>
                <w:szCs w:val="22"/>
              </w:rPr>
              <w:t>提交日期：</w:t>
            </w:r>
          </w:p>
        </w:tc>
        <w:tc>
          <w:tcPr>
            <w:tcW w:w="5564" w:type="dxa"/>
          </w:tcPr>
          <w:p>
            <w:pPr>
              <w:pStyle w:val="2"/>
              <w:rPr>
                <w:rFonts w:ascii="黑体"/>
                <w:kern w:val="2"/>
                <w:sz w:val="32"/>
                <w:szCs w:val="22"/>
              </w:rPr>
            </w:pPr>
          </w:p>
        </w:tc>
      </w:tr>
    </w:tbl>
    <w:p>
      <w:pPr>
        <w:spacing w:before="27"/>
        <w:jc w:val="center"/>
        <w:rPr>
          <w:rFonts w:ascii="黑体" w:eastAsia="黑体"/>
          <w:sz w:val="32"/>
        </w:rPr>
      </w:pPr>
    </w:p>
    <w:p>
      <w:pPr>
        <w:spacing w:before="27"/>
        <w:jc w:val="center"/>
        <w:rPr>
          <w:rFonts w:ascii="黑体" w:eastAsia="黑体"/>
          <w:sz w:val="32"/>
        </w:rPr>
      </w:pPr>
    </w:p>
    <w:p>
      <w:pPr>
        <w:spacing w:before="27"/>
        <w:jc w:val="center"/>
        <w:rPr>
          <w:rFonts w:ascii="黑体" w:eastAsia="黑体"/>
          <w:sz w:val="32"/>
        </w:rPr>
      </w:pPr>
    </w:p>
    <w:p>
      <w:pPr>
        <w:spacing w:before="27"/>
        <w:jc w:val="center"/>
        <w:rPr>
          <w:rFonts w:ascii="黑体" w:eastAsia="黑体"/>
          <w:sz w:val="32"/>
        </w:rPr>
      </w:pPr>
    </w:p>
    <w:p>
      <w:pPr>
        <w:spacing w:before="27"/>
        <w:jc w:val="center"/>
        <w:rPr>
          <w:rFonts w:ascii="黑体" w:eastAsia="黑体"/>
          <w:sz w:val="32"/>
        </w:rPr>
      </w:pPr>
    </w:p>
    <w:p>
      <w:pPr>
        <w:spacing w:before="27"/>
        <w:jc w:val="center"/>
        <w:rPr>
          <w:rFonts w:ascii="黑体" w:eastAsia="黑体"/>
          <w:sz w:val="32"/>
        </w:rPr>
      </w:pPr>
    </w:p>
    <w:p>
      <w:pPr>
        <w:spacing w:before="27"/>
        <w:jc w:val="center"/>
        <w:rPr>
          <w:rFonts w:ascii="黑体" w:eastAsia="黑体"/>
          <w:sz w:val="32"/>
        </w:rPr>
      </w:pPr>
    </w:p>
    <w:p>
      <w:pPr>
        <w:spacing w:before="27"/>
        <w:jc w:val="center"/>
        <w:rPr>
          <w:rFonts w:ascii="黑体" w:eastAsia="黑体"/>
          <w:sz w:val="32"/>
        </w:rPr>
      </w:pPr>
      <w:r>
        <w:rPr>
          <w:rFonts w:hint="eastAsia" w:ascii="黑体" w:eastAsia="黑体"/>
          <w:sz w:val="32"/>
        </w:rPr>
        <w:t>撰写说明</w:t>
      </w:r>
    </w:p>
    <w:p>
      <w:pPr>
        <w:pStyle w:val="2"/>
        <w:spacing w:before="1"/>
        <w:rPr>
          <w:rFonts w:ascii="黑体"/>
          <w:sz w:val="30"/>
        </w:rPr>
      </w:pPr>
    </w:p>
    <w:p>
      <w:pPr>
        <w:tabs>
          <w:tab w:val="left" w:pos="1102"/>
        </w:tabs>
        <w:ind w:firstLine="548" w:firstLineChars="200"/>
        <w:rPr>
          <w:rFonts w:ascii="宋体"/>
          <w:sz w:val="28"/>
        </w:rPr>
      </w:pPr>
      <w:r>
        <w:rPr>
          <w:rFonts w:ascii="宋体" w:hAnsi="宋体"/>
          <w:spacing w:val="-3"/>
          <w:sz w:val="28"/>
        </w:rPr>
        <w:t>1</w:t>
      </w:r>
      <w:r>
        <w:rPr>
          <w:rFonts w:ascii="宋体"/>
          <w:spacing w:val="-3"/>
          <w:sz w:val="28"/>
        </w:rPr>
        <w:t>.</w:t>
      </w:r>
      <w:r>
        <w:rPr>
          <w:rFonts w:hint="eastAsia" w:ascii="宋体" w:hAnsi="宋体"/>
          <w:spacing w:val="-3"/>
          <w:sz w:val="28"/>
        </w:rPr>
        <w:t>高校应按照自选的个性化指标体系撰写自评报告。</w:t>
      </w:r>
    </w:p>
    <w:p>
      <w:pPr>
        <w:pStyle w:val="2"/>
        <w:spacing w:before="2"/>
        <w:rPr>
          <w:rFonts w:ascii="宋体" w:hAnsi="宋体" w:eastAsia="宋体"/>
          <w:sz w:val="23"/>
        </w:rPr>
      </w:pPr>
    </w:p>
    <w:p>
      <w:pPr>
        <w:tabs>
          <w:tab w:val="left" w:pos="963"/>
        </w:tabs>
        <w:spacing w:line="333" w:lineRule="auto"/>
        <w:ind w:firstLine="524" w:firstLineChars="200"/>
        <w:rPr>
          <w:rFonts w:ascii="宋体"/>
          <w:spacing w:val="-12"/>
          <w:sz w:val="28"/>
        </w:rPr>
      </w:pPr>
      <w:r>
        <w:rPr>
          <w:rFonts w:ascii="宋体" w:hAnsi="宋体"/>
          <w:spacing w:val="-9"/>
          <w:sz w:val="28"/>
        </w:rPr>
        <w:t>2</w:t>
      </w:r>
      <w:r>
        <w:rPr>
          <w:rFonts w:ascii="宋体"/>
          <w:spacing w:val="-9"/>
          <w:sz w:val="28"/>
        </w:rPr>
        <w:t>.</w:t>
      </w:r>
      <w:r>
        <w:rPr>
          <w:rFonts w:hint="eastAsia" w:ascii="宋体" w:hAnsi="宋体"/>
          <w:spacing w:val="-9"/>
          <w:sz w:val="28"/>
        </w:rPr>
        <w:t>本指导书中所列内容是审核评估的基本要求，《自评报告》应</w:t>
      </w:r>
      <w:r>
        <w:rPr>
          <w:rFonts w:hint="eastAsia" w:ascii="宋体" w:hAnsi="宋体"/>
          <w:spacing w:val="-12"/>
          <w:sz w:val="28"/>
        </w:rPr>
        <w:t>包含但</w:t>
      </w:r>
    </w:p>
    <w:p>
      <w:pPr>
        <w:tabs>
          <w:tab w:val="left" w:pos="963"/>
        </w:tabs>
        <w:spacing w:line="333" w:lineRule="auto"/>
        <w:rPr>
          <w:rFonts w:ascii="宋体"/>
          <w:sz w:val="28"/>
        </w:rPr>
      </w:pPr>
      <w:r>
        <w:rPr>
          <w:rFonts w:hint="eastAsia" w:ascii="宋体" w:hAnsi="宋体"/>
          <w:spacing w:val="-12"/>
          <w:sz w:val="28"/>
        </w:rPr>
        <w:t>不限于这些内容，指导书所提供的撰写模板也仅供参评学校撰</w:t>
      </w:r>
      <w:r>
        <w:rPr>
          <w:rFonts w:hint="eastAsia" w:ascii="宋体" w:hAnsi="宋体"/>
          <w:spacing w:val="-1"/>
          <w:sz w:val="28"/>
        </w:rPr>
        <w:t>写时参考。</w:t>
      </w:r>
    </w:p>
    <w:p>
      <w:pPr>
        <w:tabs>
          <w:tab w:val="left" w:pos="963"/>
        </w:tabs>
        <w:spacing w:before="121" w:line="333" w:lineRule="auto"/>
        <w:ind w:firstLine="536" w:firstLineChars="200"/>
        <w:rPr>
          <w:rFonts w:ascii="宋体"/>
          <w:spacing w:val="-11"/>
          <w:sz w:val="28"/>
        </w:rPr>
      </w:pPr>
      <w:r>
        <w:rPr>
          <w:rFonts w:ascii="宋体" w:hAnsi="宋体"/>
          <w:spacing w:val="-6"/>
          <w:sz w:val="28"/>
        </w:rPr>
        <w:t>3</w:t>
      </w:r>
      <w:r>
        <w:rPr>
          <w:rFonts w:ascii="宋体"/>
          <w:spacing w:val="-6"/>
          <w:sz w:val="28"/>
        </w:rPr>
        <w:t>.</w:t>
      </w:r>
      <w:r>
        <w:rPr>
          <w:rFonts w:hint="eastAsia" w:ascii="宋体" w:hAnsi="宋体"/>
          <w:spacing w:val="-6"/>
          <w:sz w:val="28"/>
        </w:rPr>
        <w:t>《自评报告》总字数控制在</w:t>
      </w:r>
      <w:r>
        <w:rPr>
          <w:rFonts w:ascii="宋体" w:hAnsi="宋体"/>
          <w:sz w:val="28"/>
        </w:rPr>
        <w:t>4</w:t>
      </w:r>
      <w:r>
        <w:rPr>
          <w:rFonts w:hint="eastAsia" w:ascii="宋体" w:hAnsi="宋体"/>
          <w:spacing w:val="-8"/>
          <w:sz w:val="28"/>
        </w:rPr>
        <w:t>万</w:t>
      </w:r>
      <w:r>
        <w:rPr>
          <w:rFonts w:hint="eastAsia" w:ascii="宋体" w:hAnsi="宋体"/>
          <w:spacing w:val="-11"/>
          <w:sz w:val="28"/>
        </w:rPr>
        <w:t>字以内（不含规定文字字数，不含附录），</w:t>
      </w:r>
    </w:p>
    <w:p>
      <w:pPr>
        <w:tabs>
          <w:tab w:val="left" w:pos="963"/>
        </w:tabs>
        <w:spacing w:before="121" w:line="333" w:lineRule="auto"/>
        <w:rPr>
          <w:rFonts w:ascii="宋体" w:hAnsi="宋体"/>
        </w:rPr>
      </w:pPr>
      <w:r>
        <w:rPr>
          <w:rFonts w:hint="eastAsia" w:ascii="宋体" w:hAnsi="宋体"/>
          <w:spacing w:val="-11"/>
          <w:sz w:val="28"/>
        </w:rPr>
        <w:t>总字数可在各部分中自行调节，建议的分章控制字数供参考。存在的问题、原因分析以及改进措施不少于自评结果部分的三分之一。</w:t>
      </w:r>
      <w:r>
        <w:rPr>
          <w:rFonts w:ascii="宋体" w:hAnsi="宋体"/>
        </w:rPr>
        <w:t xml:space="preserve">    </w:t>
      </w:r>
    </w:p>
    <w:p>
      <w:pPr>
        <w:tabs>
          <w:tab w:val="left" w:pos="963"/>
        </w:tabs>
        <w:spacing w:before="121" w:line="333" w:lineRule="auto"/>
        <w:ind w:firstLine="560" w:firstLineChars="200"/>
        <w:rPr>
          <w:rFonts w:ascii="宋体"/>
          <w:sz w:val="28"/>
        </w:rPr>
      </w:pPr>
      <w:r>
        <w:rPr>
          <w:rFonts w:ascii="宋体" w:hAnsi="宋体"/>
          <w:sz w:val="28"/>
        </w:rPr>
        <w:t>4</w:t>
      </w:r>
      <w:r>
        <w:rPr>
          <w:rFonts w:ascii="宋体"/>
          <w:sz w:val="28"/>
        </w:rPr>
        <w:t>.</w:t>
      </w:r>
      <w:r>
        <w:rPr>
          <w:rFonts w:hint="eastAsia" w:ascii="宋体" w:hAnsi="宋体"/>
          <w:sz w:val="28"/>
        </w:rPr>
        <w:t>指标体系中的定量指标数据由教育部教育质量评估中心提供，无</w:t>
      </w:r>
    </w:p>
    <w:p>
      <w:pPr>
        <w:tabs>
          <w:tab w:val="left" w:pos="963"/>
        </w:tabs>
        <w:spacing w:before="160" w:line="333" w:lineRule="auto"/>
        <w:rPr>
          <w:rFonts w:ascii="宋体"/>
          <w:sz w:val="28"/>
        </w:rPr>
      </w:pPr>
      <w:r>
        <w:rPr>
          <w:rFonts w:hint="eastAsia" w:ascii="宋体" w:hAnsi="宋体"/>
          <w:sz w:val="28"/>
        </w:rPr>
        <w:t>需学校再统计填写。</w:t>
      </w:r>
    </w:p>
    <w:p>
      <w:pPr>
        <w:tabs>
          <w:tab w:val="left" w:pos="963"/>
        </w:tabs>
        <w:spacing w:before="61" w:line="336" w:lineRule="auto"/>
        <w:ind w:firstLine="524" w:firstLineChars="200"/>
        <w:rPr>
          <w:rFonts w:ascii="宋体"/>
          <w:sz w:val="28"/>
        </w:rPr>
      </w:pPr>
      <w:r>
        <w:rPr>
          <w:rFonts w:ascii="宋体" w:hAnsi="宋体"/>
          <w:spacing w:val="-9"/>
          <w:sz w:val="28"/>
        </w:rPr>
        <w:t>5</w:t>
      </w:r>
      <w:r>
        <w:rPr>
          <w:rFonts w:ascii="宋体"/>
          <w:spacing w:val="-9"/>
          <w:sz w:val="28"/>
        </w:rPr>
        <w:t>.</w:t>
      </w:r>
      <w:r>
        <w:rPr>
          <w:rFonts w:hint="eastAsia" w:ascii="宋体" w:hAnsi="宋体"/>
          <w:spacing w:val="-9"/>
          <w:sz w:val="28"/>
        </w:rPr>
        <w:t>格式文本中的黑体字体为规定内容，撰写时予以保留；其他字</w:t>
      </w:r>
      <w:r>
        <w:rPr>
          <w:rFonts w:hint="eastAsia" w:ascii="宋体" w:hAnsi="宋体"/>
          <w:spacing w:val="-3"/>
          <w:sz w:val="28"/>
        </w:rPr>
        <w:t>体为提示参考，撰写时不需保留。</w:t>
      </w:r>
    </w:p>
    <w:p>
      <w:pPr>
        <w:tabs>
          <w:tab w:val="left" w:pos="963"/>
        </w:tabs>
        <w:spacing w:before="153" w:line="333" w:lineRule="auto"/>
        <w:ind w:firstLine="516" w:firstLineChars="200"/>
        <w:rPr>
          <w:rFonts w:ascii="宋体"/>
          <w:sz w:val="28"/>
        </w:rPr>
      </w:pPr>
      <w:r>
        <w:rPr>
          <w:rFonts w:ascii="宋体" w:hAnsi="宋体"/>
          <w:spacing w:val="-11"/>
          <w:sz w:val="28"/>
        </w:rPr>
        <w:t>6</w:t>
      </w:r>
      <w:r>
        <w:rPr>
          <w:rFonts w:ascii="宋体"/>
          <w:spacing w:val="-11"/>
          <w:sz w:val="28"/>
        </w:rPr>
        <w:t>.</w:t>
      </w:r>
      <w:r>
        <w:rPr>
          <w:rFonts w:hint="eastAsia" w:ascii="宋体" w:hAnsi="宋体"/>
          <w:spacing w:val="-11"/>
          <w:sz w:val="28"/>
        </w:rPr>
        <w:t>支撑材料目录应作为《自评报告》附录列出，每个二级审核指</w:t>
      </w:r>
      <w:r>
        <w:rPr>
          <w:rFonts w:hint="eastAsia" w:ascii="宋体" w:hAnsi="宋体"/>
          <w:spacing w:val="-3"/>
          <w:sz w:val="28"/>
        </w:rPr>
        <w:t>标自评结果后面应分别列出相关支撑材料索引。</w:t>
      </w:r>
    </w:p>
    <w:p>
      <w:pPr>
        <w:pStyle w:val="170"/>
        <w:tabs>
          <w:tab w:val="left" w:pos="963"/>
        </w:tabs>
        <w:spacing w:before="153" w:line="333" w:lineRule="auto"/>
        <w:ind w:left="0" w:firstLine="0"/>
        <w:rPr>
          <w:rFonts w:ascii="宋体" w:hAnsi="宋体" w:eastAsia="宋体"/>
          <w:spacing w:val="-3"/>
          <w:sz w:val="28"/>
          <w:lang w:eastAsia="zh-CN"/>
        </w:rPr>
      </w:pPr>
    </w:p>
    <w:p>
      <w:pPr>
        <w:pStyle w:val="170"/>
        <w:tabs>
          <w:tab w:val="left" w:pos="963"/>
        </w:tabs>
        <w:spacing w:before="153" w:line="333" w:lineRule="auto"/>
        <w:ind w:left="0" w:firstLine="0"/>
        <w:rPr>
          <w:rFonts w:ascii="宋体" w:hAnsi="宋体" w:eastAsia="宋体"/>
          <w:sz w:val="28"/>
          <w:lang w:eastAsia="zh-CN"/>
        </w:rPr>
      </w:pPr>
    </w:p>
    <w:p>
      <w:pPr>
        <w:spacing w:line="333" w:lineRule="auto"/>
        <w:rPr>
          <w:sz w:val="28"/>
        </w:rPr>
        <w:sectPr>
          <w:pgSz w:w="11910" w:h="16840"/>
          <w:pgMar w:top="1500" w:right="1400" w:bottom="1420" w:left="1680" w:header="0" w:footer="1231" w:gutter="0"/>
          <w:cols w:space="720" w:num="1"/>
        </w:sectPr>
      </w:pPr>
    </w:p>
    <w:p>
      <w:pPr>
        <w:jc w:val="center"/>
        <w:rPr>
          <w:rFonts w:ascii="黑体" w:hAnsi="黑体" w:eastAsia="黑体"/>
          <w:sz w:val="32"/>
          <w:szCs w:val="32"/>
        </w:rPr>
      </w:pPr>
      <w:r>
        <w:rPr>
          <w:rFonts w:hint="eastAsia" w:ascii="黑体" w:hAnsi="黑体" w:eastAsia="黑体"/>
          <w:sz w:val="32"/>
          <w:szCs w:val="32"/>
        </w:rPr>
        <w:t>本科教育教学审核评估自评报告</w:t>
      </w:r>
    </w:p>
    <w:p>
      <w:pPr>
        <w:jc w:val="center"/>
        <w:rPr>
          <w:rFonts w:ascii="黑体" w:hAnsi="黑体" w:eastAsia="黑体"/>
          <w:sz w:val="32"/>
          <w:szCs w:val="32"/>
        </w:rPr>
      </w:pPr>
    </w:p>
    <w:p>
      <w:pPr>
        <w:jc w:val="center"/>
      </w:pPr>
      <w:r>
        <w:rPr>
          <w:rFonts w:hint="eastAsia" w:ascii="黑体" w:hAnsi="黑体" w:eastAsia="黑体"/>
          <w:sz w:val="32"/>
          <w:szCs w:val="32"/>
        </w:rPr>
        <w:t>第一部分：学校简介</w:t>
      </w:r>
      <w:r>
        <w:rPr>
          <w:rFonts w:hint="eastAsia"/>
        </w:rPr>
        <w:t>（不超过</w:t>
      </w:r>
      <w:r>
        <w:t>1000</w:t>
      </w:r>
      <w:r>
        <w:rPr>
          <w:rFonts w:hint="eastAsia"/>
        </w:rPr>
        <w:t>字）</w:t>
      </w:r>
    </w:p>
    <w:p>
      <w:pPr>
        <w:pStyle w:val="2"/>
        <w:spacing w:before="3"/>
        <w:rPr>
          <w:sz w:val="34"/>
        </w:rPr>
      </w:pPr>
    </w:p>
    <w:p>
      <w:pPr>
        <w:pStyle w:val="170"/>
        <w:numPr>
          <w:ilvl w:val="0"/>
          <w:numId w:val="12"/>
        </w:numPr>
        <w:tabs>
          <w:tab w:val="left" w:pos="1004"/>
        </w:tabs>
        <w:spacing w:before="1" w:line="336" w:lineRule="auto"/>
        <w:ind w:left="0" w:firstLine="599"/>
        <w:rPr>
          <w:rFonts w:ascii="宋体" w:hAnsi="宋体" w:eastAsia="宋体"/>
          <w:sz w:val="28"/>
          <w:lang w:eastAsia="zh-CN"/>
        </w:rPr>
      </w:pPr>
      <w:r>
        <w:rPr>
          <w:rFonts w:hint="eastAsia" w:ascii="宋体" w:hAnsi="宋体" w:eastAsia="宋体"/>
          <w:spacing w:val="-12"/>
          <w:sz w:val="28"/>
          <w:lang w:eastAsia="zh-CN"/>
        </w:rPr>
        <w:t>简要介绍学校的历史沿革，隶属关系，学科布局，本科专业数</w:t>
      </w:r>
      <w:r>
        <w:rPr>
          <w:rFonts w:hint="eastAsia" w:ascii="宋体" w:hAnsi="宋体" w:eastAsia="宋体"/>
          <w:spacing w:val="-23"/>
          <w:sz w:val="28"/>
          <w:lang w:eastAsia="zh-CN"/>
        </w:rPr>
        <w:t>量与结构，各类全日制在校生规模，专任教师规模，基本办学条件等。</w:t>
      </w:r>
    </w:p>
    <w:p>
      <w:pPr>
        <w:tabs>
          <w:tab w:val="left" w:pos="1004"/>
        </w:tabs>
        <w:spacing w:line="355" w:lineRule="exact"/>
        <w:ind w:left="-163" w:firstLine="137" w:firstLineChars="50"/>
        <w:rPr>
          <w:rFonts w:ascii="宋体"/>
          <w:sz w:val="28"/>
        </w:rPr>
      </w:pPr>
      <w:r>
        <w:rPr>
          <w:rFonts w:ascii="宋体" w:hAnsi="宋体"/>
          <w:spacing w:val="-3"/>
          <w:sz w:val="28"/>
        </w:rPr>
        <w:t xml:space="preserve">    2.</w:t>
      </w:r>
      <w:r>
        <w:rPr>
          <w:rFonts w:hint="eastAsia" w:ascii="宋体" w:hAnsi="宋体"/>
          <w:spacing w:val="-3"/>
          <w:sz w:val="28"/>
        </w:rPr>
        <w:t>学校近年来事业发展中所取得的显著成就与荣誉。</w:t>
      </w:r>
    </w:p>
    <w:p>
      <w:pPr>
        <w:pStyle w:val="2"/>
        <w:spacing w:before="10"/>
        <w:rPr>
          <w:sz w:val="25"/>
        </w:rPr>
      </w:pPr>
    </w:p>
    <w:p>
      <w:pPr>
        <w:jc w:val="center"/>
      </w:pPr>
      <w:r>
        <w:rPr>
          <w:rFonts w:hint="eastAsia" w:ascii="黑体" w:hAnsi="黑体" w:eastAsia="黑体"/>
          <w:sz w:val="32"/>
          <w:szCs w:val="32"/>
        </w:rPr>
        <w:t>第二部分：学校自评工作开展情况</w:t>
      </w:r>
      <w:r>
        <w:rPr>
          <w:rFonts w:hint="eastAsia"/>
        </w:rPr>
        <w:t>（不超过</w:t>
      </w:r>
      <w:r>
        <w:t>1000</w:t>
      </w:r>
      <w:r>
        <w:rPr>
          <w:rFonts w:hint="eastAsia"/>
        </w:rPr>
        <w:t>字）</w:t>
      </w:r>
    </w:p>
    <w:p>
      <w:pPr>
        <w:pStyle w:val="2"/>
        <w:spacing w:before="3"/>
        <w:rPr>
          <w:sz w:val="34"/>
        </w:rPr>
      </w:pPr>
    </w:p>
    <w:p>
      <w:pPr>
        <w:tabs>
          <w:tab w:val="left" w:pos="1004"/>
        </w:tabs>
        <w:spacing w:line="360" w:lineRule="auto"/>
        <w:ind w:firstLine="468" w:firstLineChars="200"/>
        <w:rPr>
          <w:rFonts w:ascii="宋体"/>
          <w:spacing w:val="-23"/>
          <w:sz w:val="28"/>
        </w:rPr>
      </w:pPr>
      <w:r>
        <w:rPr>
          <w:rFonts w:ascii="宋体" w:hAnsi="宋体"/>
          <w:spacing w:val="-23"/>
          <w:sz w:val="28"/>
        </w:rPr>
        <w:t>1</w:t>
      </w:r>
      <w:r>
        <w:rPr>
          <w:rFonts w:ascii="宋体"/>
          <w:spacing w:val="-23"/>
          <w:sz w:val="28"/>
        </w:rPr>
        <w:t>.</w:t>
      </w:r>
      <w:r>
        <w:rPr>
          <w:rFonts w:hint="eastAsia" w:ascii="宋体" w:hAnsi="宋体"/>
          <w:spacing w:val="-23"/>
          <w:sz w:val="28"/>
        </w:rPr>
        <w:t>简要说明学校依据《普通高等学校本科教育教学审核评估实施方案》（</w:t>
      </w:r>
      <w:r>
        <w:rPr>
          <w:rFonts w:ascii="宋体" w:hAnsi="宋体"/>
          <w:spacing w:val="-23"/>
          <w:sz w:val="28"/>
        </w:rPr>
        <w:t>2021-2025</w:t>
      </w:r>
      <w:r>
        <w:rPr>
          <w:rFonts w:hint="eastAsia" w:ascii="宋体" w:hAnsi="宋体"/>
          <w:spacing w:val="-23"/>
          <w:sz w:val="28"/>
        </w:rPr>
        <w:t>年）开展自评自建工作情况，包括组织机构、宣传发动、实施措施、经验以及评建工作取得的成效。</w:t>
      </w:r>
    </w:p>
    <w:p>
      <w:pPr>
        <w:tabs>
          <w:tab w:val="left" w:pos="1004"/>
        </w:tabs>
        <w:spacing w:line="360" w:lineRule="auto"/>
        <w:ind w:firstLine="468" w:firstLineChars="200"/>
        <w:rPr>
          <w:rFonts w:ascii="宋体"/>
          <w:spacing w:val="-23"/>
          <w:sz w:val="28"/>
        </w:rPr>
      </w:pPr>
      <w:r>
        <w:rPr>
          <w:rFonts w:ascii="宋体" w:hAnsi="宋体"/>
          <w:spacing w:val="-23"/>
          <w:sz w:val="28"/>
        </w:rPr>
        <w:t>2</w:t>
      </w:r>
      <w:r>
        <w:rPr>
          <w:rFonts w:ascii="宋体"/>
          <w:spacing w:val="-23"/>
          <w:sz w:val="28"/>
        </w:rPr>
        <w:t>.</w:t>
      </w:r>
      <w:r>
        <w:rPr>
          <w:rFonts w:hint="eastAsia" w:ascii="宋体" w:hAnsi="宋体"/>
          <w:spacing w:val="-23"/>
          <w:sz w:val="28"/>
        </w:rPr>
        <w:t>需附自查问题清单；支撑材料索引：包括学校审核评估工作领导小组、自评自建工作方案、自评自建过程记录等。</w:t>
      </w:r>
    </w:p>
    <w:p>
      <w:pPr>
        <w:jc w:val="center"/>
      </w:pPr>
      <w:r>
        <w:rPr>
          <w:rFonts w:hint="eastAsia" w:ascii="黑体" w:hAnsi="黑体" w:eastAsia="黑体"/>
          <w:sz w:val="32"/>
          <w:szCs w:val="32"/>
        </w:rPr>
        <w:t>第三部分：学校自评结果</w:t>
      </w:r>
      <w:r>
        <w:rPr>
          <w:rFonts w:hint="eastAsia"/>
        </w:rPr>
        <w:t>（不超过</w:t>
      </w:r>
      <w:r>
        <w:t>28000</w:t>
      </w:r>
      <w:r>
        <w:rPr>
          <w:rFonts w:hint="eastAsia"/>
        </w:rPr>
        <w:t>字）</w:t>
      </w:r>
    </w:p>
    <w:p>
      <w:pPr>
        <w:pStyle w:val="2"/>
        <w:rPr>
          <w:sz w:val="33"/>
        </w:rPr>
      </w:pPr>
    </w:p>
    <w:p>
      <w:pPr>
        <w:pStyle w:val="170"/>
        <w:numPr>
          <w:ilvl w:val="0"/>
          <w:numId w:val="13"/>
        </w:numPr>
        <w:tabs>
          <w:tab w:val="left" w:pos="829"/>
        </w:tabs>
        <w:spacing w:line="440" w:lineRule="exact"/>
        <w:ind w:left="0" w:firstLine="640" w:firstLineChars="200"/>
        <w:jc w:val="both"/>
        <w:rPr>
          <w:sz w:val="32"/>
        </w:rPr>
      </w:pPr>
      <w:r>
        <w:rPr>
          <w:rFonts w:hint="eastAsia"/>
          <w:sz w:val="32"/>
        </w:rPr>
        <w:t>办学方向与本科地位</w:t>
      </w:r>
    </w:p>
    <w:p>
      <w:pPr>
        <w:pStyle w:val="170"/>
        <w:numPr>
          <w:ilvl w:val="1"/>
          <w:numId w:val="13"/>
        </w:numPr>
        <w:tabs>
          <w:tab w:val="left" w:pos="1035"/>
        </w:tabs>
        <w:spacing w:line="440" w:lineRule="exact"/>
        <w:ind w:left="0" w:firstLine="560" w:firstLineChars="200"/>
        <w:jc w:val="both"/>
        <w:rPr>
          <w:sz w:val="28"/>
        </w:rPr>
      </w:pPr>
      <w:r>
        <w:rPr>
          <w:rFonts w:hint="eastAsia"/>
          <w:sz w:val="28"/>
        </w:rPr>
        <w:t>党的领导</w:t>
      </w:r>
    </w:p>
    <w:p>
      <w:pPr>
        <w:tabs>
          <w:tab w:val="left" w:pos="1004"/>
        </w:tabs>
        <w:spacing w:line="360" w:lineRule="auto"/>
        <w:ind w:firstLine="468"/>
        <w:rPr>
          <w:rFonts w:ascii="宋体"/>
          <w:spacing w:val="-23"/>
          <w:sz w:val="28"/>
        </w:rPr>
      </w:pPr>
      <w:r>
        <w:rPr>
          <w:rFonts w:hint="eastAsia" w:ascii="宋体" w:hAnsi="宋体"/>
          <w:spacing w:val="-23"/>
          <w:sz w:val="28"/>
        </w:rPr>
        <w:t>重点阐述：</w:t>
      </w:r>
      <w:r>
        <w:rPr>
          <w:rFonts w:hint="eastAsia" w:ascii="宋体"/>
          <w:spacing w:val="-23"/>
          <w:sz w:val="28"/>
        </w:rPr>
        <w:t>①</w:t>
      </w:r>
      <w:r>
        <w:rPr>
          <w:rFonts w:hint="eastAsia" w:ascii="宋体" w:hAnsi="宋体"/>
          <w:spacing w:val="-23"/>
          <w:sz w:val="28"/>
        </w:rPr>
        <w:t>学校坚持以习近平新时代中国特色社会主义思想为指导，坚持党的全面领导，全面贯彻党的教育方针，依法治校，围绕国家战略需求培养担当民族复兴大任的时代新人，所采取的举措及取得的成效，特别是党的全面领导对学校高质量发展的引领作用。</w:t>
      </w:r>
      <w:r>
        <w:rPr>
          <w:rFonts w:hint="eastAsia" w:ascii="宋体"/>
          <w:spacing w:val="-23"/>
          <w:sz w:val="28"/>
        </w:rPr>
        <w:t>②</w:t>
      </w:r>
      <w:r>
        <w:rPr>
          <w:rFonts w:hint="eastAsia" w:ascii="宋体" w:hAnsi="宋体"/>
          <w:spacing w:val="-23"/>
          <w:sz w:val="28"/>
        </w:rPr>
        <w:t>学校是如何坚持社会主义办学方向、贯彻落实立德树人根本任务的，是否把立德树人成效作为检验学校工作的根本标准，如何体现，所采取的具体举措及取得的成效。</w:t>
      </w:r>
    </w:p>
    <w:p>
      <w:pPr>
        <w:tabs>
          <w:tab w:val="left" w:pos="1004"/>
        </w:tabs>
        <w:spacing w:line="360" w:lineRule="auto"/>
        <w:ind w:firstLine="468"/>
        <w:rPr>
          <w:rFonts w:ascii="宋体"/>
          <w:spacing w:val="-23"/>
          <w:sz w:val="28"/>
        </w:rPr>
      </w:pPr>
      <w:r>
        <w:rPr>
          <w:rFonts w:hint="eastAsia" w:ascii="宋体" w:hAnsi="宋体"/>
          <w:spacing w:val="-23"/>
          <w:sz w:val="28"/>
        </w:rPr>
        <w:t>支撑材料目录：列出能够证明上述自评结果的相关材料目录索引，包括学校在加强党的领导方面出台的制度文件；贯彻落实立德树人根本任务方面的成果、典型案例；相关会议或宣传报道材料。</w:t>
      </w:r>
    </w:p>
    <w:p>
      <w:pPr>
        <w:pStyle w:val="170"/>
        <w:numPr>
          <w:ilvl w:val="1"/>
          <w:numId w:val="13"/>
        </w:numPr>
        <w:tabs>
          <w:tab w:val="left" w:pos="1035"/>
        </w:tabs>
        <w:spacing w:line="440" w:lineRule="exact"/>
        <w:ind w:left="0" w:firstLine="560" w:firstLineChars="200"/>
        <w:jc w:val="both"/>
        <w:rPr>
          <w:sz w:val="28"/>
        </w:rPr>
      </w:pPr>
      <w:r>
        <w:rPr>
          <w:rFonts w:hint="eastAsia"/>
          <w:sz w:val="28"/>
        </w:rPr>
        <w:t>思政教育</w:t>
      </w:r>
    </w:p>
    <w:p>
      <w:pPr>
        <w:pStyle w:val="2"/>
        <w:spacing w:line="440" w:lineRule="exact"/>
        <w:ind w:firstLine="460" w:firstLineChars="200"/>
        <w:jc w:val="both"/>
        <w:rPr>
          <w:rFonts w:ascii="黑体"/>
          <w:sz w:val="23"/>
        </w:rPr>
      </w:pPr>
    </w:p>
    <w:p>
      <w:pPr>
        <w:tabs>
          <w:tab w:val="left" w:pos="1004"/>
        </w:tabs>
        <w:spacing w:line="360" w:lineRule="auto"/>
        <w:ind w:firstLine="468"/>
        <w:rPr>
          <w:rFonts w:ascii="宋体"/>
          <w:spacing w:val="-23"/>
          <w:sz w:val="28"/>
        </w:rPr>
      </w:pPr>
      <w:r>
        <w:rPr>
          <w:rFonts w:hint="eastAsia" w:ascii="宋体" w:hAnsi="宋体"/>
          <w:spacing w:val="-23"/>
          <w:sz w:val="28"/>
        </w:rPr>
        <w:t>重点阐述：</w:t>
      </w:r>
      <w:r>
        <w:rPr>
          <w:rFonts w:hint="eastAsia" w:ascii="宋体"/>
          <w:spacing w:val="-23"/>
          <w:sz w:val="28"/>
        </w:rPr>
        <w:t>①</w:t>
      </w:r>
      <w:r>
        <w:rPr>
          <w:rFonts w:hint="eastAsia" w:ascii="宋体" w:hAnsi="宋体"/>
          <w:spacing w:val="-23"/>
          <w:sz w:val="28"/>
        </w:rPr>
        <w:t>学校贯彻落实教育部等八部门《关于加快构建高校思想政治工作体系的意见》（教思政〔</w:t>
      </w:r>
      <w:r>
        <w:rPr>
          <w:rFonts w:ascii="宋体" w:hAnsi="宋体"/>
          <w:spacing w:val="-23"/>
          <w:sz w:val="28"/>
        </w:rPr>
        <w:t>2020</w:t>
      </w:r>
      <w:r>
        <w:rPr>
          <w:rFonts w:hint="eastAsia" w:ascii="宋体" w:hAnsi="宋体"/>
          <w:spacing w:val="-23"/>
          <w:sz w:val="28"/>
        </w:rPr>
        <w:t>〕</w:t>
      </w:r>
      <w:r>
        <w:rPr>
          <w:rFonts w:ascii="宋体" w:hAnsi="宋体"/>
          <w:spacing w:val="-23"/>
          <w:sz w:val="28"/>
        </w:rPr>
        <w:t>1</w:t>
      </w:r>
      <w:r>
        <w:rPr>
          <w:rFonts w:hint="eastAsia" w:ascii="宋体" w:hAnsi="宋体"/>
          <w:spacing w:val="-23"/>
          <w:sz w:val="28"/>
        </w:rPr>
        <w:t>号）精神，构建思想政治教育工作体系情况</w:t>
      </w:r>
      <w:r>
        <w:rPr>
          <w:rFonts w:ascii="宋体" w:hAnsi="宋体"/>
          <w:spacing w:val="-23"/>
          <w:sz w:val="28"/>
        </w:rPr>
        <w:t>?</w:t>
      </w:r>
      <w:r>
        <w:rPr>
          <w:rFonts w:hint="eastAsia" w:ascii="宋体" w:hAnsi="宋体"/>
          <w:spacing w:val="-23"/>
          <w:sz w:val="28"/>
        </w:rPr>
        <w:t>学校如何开展</w:t>
      </w:r>
      <w:r>
        <w:rPr>
          <w:rFonts w:hint="eastAsia" w:ascii="宋体"/>
          <w:spacing w:val="-23"/>
          <w:sz w:val="28"/>
        </w:rPr>
        <w:t>“</w:t>
      </w:r>
      <w:r>
        <w:rPr>
          <w:rFonts w:hint="eastAsia" w:ascii="宋体" w:hAnsi="宋体"/>
          <w:spacing w:val="-23"/>
          <w:sz w:val="28"/>
        </w:rPr>
        <w:t>三全育人</w:t>
      </w:r>
      <w:r>
        <w:rPr>
          <w:rFonts w:hint="eastAsia" w:ascii="宋体"/>
          <w:spacing w:val="-23"/>
          <w:sz w:val="28"/>
        </w:rPr>
        <w:t>”</w:t>
      </w:r>
      <w:r>
        <w:rPr>
          <w:rFonts w:hint="eastAsia" w:ascii="宋体" w:hAnsi="宋体"/>
          <w:spacing w:val="-23"/>
          <w:sz w:val="28"/>
        </w:rPr>
        <w:t>工作？成效如何？</w:t>
      </w:r>
      <w:r>
        <w:rPr>
          <w:rFonts w:hint="eastAsia" w:ascii="宋体"/>
          <w:spacing w:val="-23"/>
          <w:sz w:val="28"/>
        </w:rPr>
        <w:t>②</w:t>
      </w:r>
      <w:r>
        <w:rPr>
          <w:rFonts w:hint="eastAsia" w:ascii="宋体" w:hAnsi="宋体"/>
          <w:spacing w:val="-23"/>
          <w:sz w:val="28"/>
        </w:rPr>
        <w:t>学校在思想政治理论课教师队伍和思政课程建设方面的做法及成效；按要求开设</w:t>
      </w:r>
      <w:r>
        <w:rPr>
          <w:rFonts w:hint="eastAsia" w:ascii="宋体"/>
          <w:spacing w:val="-23"/>
          <w:sz w:val="28"/>
        </w:rPr>
        <w:t>“</w:t>
      </w:r>
      <w:r>
        <w:rPr>
          <w:rFonts w:hint="eastAsia" w:ascii="宋体" w:hAnsi="宋体"/>
          <w:spacing w:val="-23"/>
          <w:sz w:val="28"/>
        </w:rPr>
        <w:t>习近平总书记关于教育的重要论述研究</w:t>
      </w:r>
      <w:r>
        <w:rPr>
          <w:rFonts w:hint="eastAsia" w:ascii="宋体"/>
          <w:spacing w:val="-23"/>
          <w:sz w:val="28"/>
        </w:rPr>
        <w:t>”</w:t>
      </w:r>
      <w:r>
        <w:rPr>
          <w:rFonts w:hint="eastAsia" w:ascii="宋体" w:hAnsi="宋体"/>
          <w:spacing w:val="-23"/>
          <w:sz w:val="28"/>
        </w:rPr>
        <w:t>课程、落实习近平总书记在学校思想政治理论课教师座谈会上的指示、《新时代高等学校思想政治理论课教师队伍建设规定》情况</w:t>
      </w:r>
      <w:r>
        <w:rPr>
          <w:rFonts w:hint="eastAsia" w:ascii="宋体"/>
          <w:spacing w:val="-23"/>
          <w:sz w:val="28"/>
        </w:rPr>
        <w:t>③</w:t>
      </w:r>
      <w:r>
        <w:rPr>
          <w:rFonts w:hint="eastAsia" w:ascii="宋体" w:hAnsi="宋体"/>
          <w:spacing w:val="-23"/>
          <w:sz w:val="28"/>
        </w:rPr>
        <w:t>学校贯彻落实教育部《高等学校课程思政建设指导纲要》（教高〔</w:t>
      </w:r>
      <w:r>
        <w:rPr>
          <w:rFonts w:ascii="宋体" w:hAnsi="宋体"/>
          <w:spacing w:val="-23"/>
          <w:sz w:val="28"/>
        </w:rPr>
        <w:t>2020</w:t>
      </w:r>
      <w:r>
        <w:rPr>
          <w:rFonts w:hint="eastAsia" w:ascii="宋体" w:hAnsi="宋体"/>
          <w:spacing w:val="-23"/>
          <w:sz w:val="28"/>
        </w:rPr>
        <w:t>〕</w:t>
      </w:r>
      <w:r>
        <w:rPr>
          <w:rFonts w:ascii="宋体" w:hAnsi="宋体"/>
          <w:spacing w:val="-23"/>
          <w:sz w:val="28"/>
        </w:rPr>
        <w:t>3</w:t>
      </w:r>
      <w:r>
        <w:rPr>
          <w:rFonts w:hint="eastAsia" w:ascii="宋体" w:hAnsi="宋体"/>
          <w:spacing w:val="-23"/>
          <w:sz w:val="28"/>
        </w:rPr>
        <w:t>号）精神，在课程思政示范课程、课程思政教学研究示范中心建设、教学名师和团队的建设方面的举措及成效（包括经费投入、教师进修培养、激励机制等）。</w:t>
      </w:r>
      <w:r>
        <w:rPr>
          <w:rFonts w:hint="eastAsia" w:ascii="宋体"/>
          <w:spacing w:val="-23"/>
          <w:sz w:val="28"/>
        </w:rPr>
        <w:t>④</w:t>
      </w:r>
      <w:r>
        <w:rPr>
          <w:rFonts w:hint="eastAsia" w:ascii="宋体" w:hAnsi="宋体"/>
          <w:spacing w:val="-23"/>
          <w:sz w:val="28"/>
        </w:rPr>
        <w:t>学校在师生思想政治、道德品质等方面负面问题的预警机制、应对处置措施及实施情况。</w:t>
      </w:r>
      <w:r>
        <w:rPr>
          <w:rFonts w:hint="eastAsia" w:ascii="宋体"/>
          <w:spacing w:val="-23"/>
          <w:sz w:val="28"/>
        </w:rPr>
        <w:t>⑤</w:t>
      </w:r>
      <w:r>
        <w:rPr>
          <w:rFonts w:hint="eastAsia" w:ascii="宋体" w:hAnsi="宋体"/>
          <w:spacing w:val="-23"/>
          <w:sz w:val="28"/>
        </w:rPr>
        <w:t>学校可通过必选定量指标达标情况、自选定量指标及常模数据比较情况，阐述学校的比较优势与成绩、做法与经验。</w:t>
      </w:r>
    </w:p>
    <w:p>
      <w:pPr>
        <w:tabs>
          <w:tab w:val="left" w:pos="1004"/>
        </w:tabs>
        <w:spacing w:line="360" w:lineRule="auto"/>
        <w:ind w:firstLine="468"/>
        <w:rPr>
          <w:rFonts w:ascii="宋体"/>
          <w:spacing w:val="-23"/>
          <w:sz w:val="28"/>
        </w:rPr>
      </w:pPr>
      <w:r>
        <w:rPr>
          <w:rFonts w:hint="eastAsia" w:ascii="宋体" w:hAnsi="宋体"/>
          <w:spacing w:val="-23"/>
          <w:sz w:val="28"/>
        </w:rPr>
        <w:t>支撑材料目录：列出能够证明上述自评结果的相关材料目录索引，包括学校在思政教育方面的制度文件；思想政治理论课教师队伍和思政课程建设方面的统计分析资料；课程思政的典型案例；课程思政示范课程、课程思政教学研究示范中心建设等资料；师生在思想政治、道德品质等方面出现负面问题情况应对及处理情况。</w:t>
      </w:r>
    </w:p>
    <w:p>
      <w:pPr>
        <w:pStyle w:val="170"/>
        <w:numPr>
          <w:ilvl w:val="1"/>
          <w:numId w:val="13"/>
        </w:numPr>
        <w:tabs>
          <w:tab w:val="left" w:pos="1035"/>
        </w:tabs>
        <w:spacing w:line="440" w:lineRule="exact"/>
        <w:ind w:left="0" w:firstLine="560" w:firstLineChars="200"/>
        <w:jc w:val="both"/>
        <w:rPr>
          <w:sz w:val="28"/>
        </w:rPr>
      </w:pPr>
      <w:r>
        <w:rPr>
          <w:rFonts w:hint="eastAsia"/>
          <w:sz w:val="28"/>
        </w:rPr>
        <w:t>本科地位</w:t>
      </w:r>
    </w:p>
    <w:p>
      <w:pPr>
        <w:tabs>
          <w:tab w:val="left" w:pos="1004"/>
        </w:tabs>
        <w:spacing w:line="360" w:lineRule="auto"/>
        <w:ind w:firstLine="468"/>
        <w:rPr>
          <w:rFonts w:ascii="宋体"/>
          <w:spacing w:val="-23"/>
          <w:sz w:val="28"/>
        </w:rPr>
      </w:pPr>
      <w:r>
        <w:rPr>
          <w:rFonts w:hint="eastAsia" w:ascii="宋体" w:hAnsi="宋体"/>
          <w:spacing w:val="-23"/>
          <w:sz w:val="28"/>
        </w:rPr>
        <w:t>重点阐述：</w:t>
      </w:r>
      <w:r>
        <w:rPr>
          <w:rFonts w:hint="eastAsia" w:ascii="宋体"/>
          <w:spacing w:val="-23"/>
          <w:sz w:val="28"/>
        </w:rPr>
        <w:t>①</w:t>
      </w:r>
      <w:r>
        <w:rPr>
          <w:rFonts w:hint="eastAsia" w:ascii="宋体" w:hAnsi="宋体"/>
          <w:spacing w:val="-23"/>
          <w:sz w:val="28"/>
        </w:rPr>
        <w:t>学校在坚持</w:t>
      </w:r>
      <w:r>
        <w:rPr>
          <w:rFonts w:hint="eastAsia" w:ascii="宋体"/>
          <w:spacing w:val="-23"/>
          <w:sz w:val="28"/>
        </w:rPr>
        <w:t>“</w:t>
      </w:r>
      <w:r>
        <w:rPr>
          <w:rFonts w:hint="eastAsia" w:ascii="宋体" w:hAnsi="宋体"/>
          <w:spacing w:val="-23"/>
          <w:sz w:val="28"/>
        </w:rPr>
        <w:t>以本为本</w:t>
      </w:r>
      <w:r>
        <w:rPr>
          <w:rFonts w:hint="eastAsia" w:ascii="宋体"/>
          <w:spacing w:val="-23"/>
          <w:sz w:val="28"/>
        </w:rPr>
        <w:t>”</w:t>
      </w:r>
      <w:r>
        <w:rPr>
          <w:rFonts w:hint="eastAsia" w:ascii="宋体" w:hAnsi="宋体"/>
          <w:spacing w:val="-23"/>
          <w:sz w:val="28"/>
        </w:rPr>
        <w:t>，把本科教育放在人才培养的核心地位、教育教学的基础地位、新时代教育发展的前沿地位情况；学校在营造党委重视、校长主抓、院长落实的本科教育良好氛围方面所采取的举措及实施成效。</w:t>
      </w:r>
      <w:r>
        <w:rPr>
          <w:rFonts w:hint="eastAsia" w:ascii="宋体"/>
          <w:spacing w:val="-23"/>
          <w:sz w:val="28"/>
        </w:rPr>
        <w:t>②</w:t>
      </w:r>
      <w:r>
        <w:rPr>
          <w:rFonts w:hint="eastAsia" w:ascii="宋体" w:hAnsi="宋体"/>
          <w:spacing w:val="-23"/>
          <w:sz w:val="28"/>
        </w:rPr>
        <w:t>学校是否已落实了</w:t>
      </w:r>
      <w:r>
        <w:rPr>
          <w:rFonts w:hint="eastAsia" w:ascii="宋体"/>
          <w:spacing w:val="-23"/>
          <w:sz w:val="28"/>
        </w:rPr>
        <w:t>“</w:t>
      </w:r>
      <w:r>
        <w:rPr>
          <w:rFonts w:hint="eastAsia" w:ascii="宋体" w:hAnsi="宋体"/>
          <w:spacing w:val="-23"/>
          <w:sz w:val="28"/>
        </w:rPr>
        <w:t>四个回归</w:t>
      </w:r>
      <w:r>
        <w:rPr>
          <w:rFonts w:hint="eastAsia" w:ascii="宋体"/>
          <w:spacing w:val="-23"/>
          <w:sz w:val="28"/>
        </w:rPr>
        <w:t>”</w:t>
      </w:r>
      <w:r>
        <w:rPr>
          <w:rFonts w:hint="eastAsia" w:ascii="宋体" w:hAnsi="宋体"/>
          <w:spacing w:val="-23"/>
          <w:sz w:val="28"/>
        </w:rPr>
        <w:t>？如何体现？学校在引导学生求真学问，引导教师热爱教学、倾心教学、研究教学，潜心教书育人方面所采取的举措及取得的成效。</w:t>
      </w:r>
      <w:r>
        <w:rPr>
          <w:rFonts w:hint="eastAsia" w:ascii="宋体"/>
          <w:spacing w:val="-23"/>
          <w:sz w:val="28"/>
        </w:rPr>
        <w:t>③</w:t>
      </w:r>
      <w:r>
        <w:rPr>
          <w:rFonts w:hint="eastAsia" w:ascii="宋体" w:hAnsi="宋体"/>
          <w:spacing w:val="-23"/>
          <w:sz w:val="28"/>
        </w:rPr>
        <w:t>学校把本科教育教学工作放在优先发展地位的体现，包括经费安排，资源配置，教师引进、职称评聘、绩效考核等方面的机制体制建设。</w:t>
      </w:r>
      <w:r>
        <w:rPr>
          <w:rFonts w:hint="eastAsia" w:ascii="宋体"/>
          <w:spacing w:val="-23"/>
          <w:sz w:val="28"/>
        </w:rPr>
        <w:t>④</w:t>
      </w:r>
      <w:r>
        <w:rPr>
          <w:rFonts w:hint="eastAsia" w:ascii="宋体" w:hAnsi="宋体"/>
          <w:spacing w:val="-23"/>
          <w:sz w:val="28"/>
        </w:rPr>
        <w:t>学校各职能部门落实</w:t>
      </w:r>
      <w:r>
        <w:rPr>
          <w:rFonts w:hint="eastAsia" w:ascii="宋体"/>
          <w:spacing w:val="-23"/>
          <w:sz w:val="28"/>
        </w:rPr>
        <w:t>“</w:t>
      </w:r>
      <w:r>
        <w:rPr>
          <w:rFonts w:hint="eastAsia" w:ascii="宋体" w:hAnsi="宋体"/>
          <w:spacing w:val="-23"/>
          <w:sz w:val="28"/>
        </w:rPr>
        <w:t>以本为本</w:t>
      </w:r>
      <w:r>
        <w:rPr>
          <w:rFonts w:hint="eastAsia" w:ascii="宋体"/>
          <w:spacing w:val="-23"/>
          <w:sz w:val="28"/>
        </w:rPr>
        <w:t>”</w:t>
      </w:r>
      <w:r>
        <w:rPr>
          <w:rFonts w:hint="eastAsia" w:ascii="宋体" w:hAnsi="宋体"/>
          <w:spacing w:val="-23"/>
          <w:sz w:val="28"/>
        </w:rPr>
        <w:t>，围绕教学中心地位开展服务工作情况、年度对考核情况；本科教学工作在院系、教师年度考核中所占比重情况。</w:t>
      </w:r>
      <w:r>
        <w:rPr>
          <w:rFonts w:hint="eastAsia" w:ascii="宋体"/>
          <w:spacing w:val="-23"/>
          <w:sz w:val="28"/>
        </w:rPr>
        <w:t>⑤</w:t>
      </w:r>
      <w:r>
        <w:rPr>
          <w:rFonts w:hint="eastAsia" w:ascii="宋体" w:hAnsi="宋体"/>
          <w:spacing w:val="-23"/>
          <w:sz w:val="28"/>
        </w:rPr>
        <w:t>学校可通过必选定量指标达标情况、自选定量指标及常模数据比较情况，阐述学校的优势与成绩、做法与经验。</w:t>
      </w:r>
    </w:p>
    <w:p>
      <w:pPr>
        <w:tabs>
          <w:tab w:val="left" w:pos="1004"/>
        </w:tabs>
        <w:spacing w:line="360" w:lineRule="auto"/>
        <w:ind w:firstLine="468"/>
        <w:rPr>
          <w:rFonts w:ascii="宋体"/>
          <w:spacing w:val="-23"/>
          <w:sz w:val="28"/>
        </w:rPr>
      </w:pPr>
      <w:r>
        <w:rPr>
          <w:rFonts w:hint="eastAsia" w:ascii="宋体" w:hAnsi="宋体"/>
          <w:spacing w:val="-23"/>
          <w:sz w:val="28"/>
        </w:rPr>
        <w:t>支撑材料目录：列出能够证明上述自评结果的相关材料目录索引，包括学校在落实本科地位方面制订出台的制度文件；党委常委会专题研究本科教学工作的会议记录、各级领导听课记录；学校开展新时代思想大讨论的相关材料；学校教师引进、职称评聘、绩效考核等制度文件；近三年学校在教学方面的经费投入情况，院系、教师年度考核情况等。</w:t>
      </w:r>
    </w:p>
    <w:p>
      <w:pPr>
        <w:pStyle w:val="170"/>
        <w:numPr>
          <w:ilvl w:val="1"/>
          <w:numId w:val="13"/>
        </w:numPr>
        <w:tabs>
          <w:tab w:val="left" w:pos="1040"/>
        </w:tabs>
        <w:spacing w:line="440" w:lineRule="exact"/>
        <w:ind w:left="0" w:firstLine="562" w:firstLineChars="200"/>
        <w:jc w:val="both"/>
        <w:rPr>
          <w:b/>
          <w:sz w:val="28"/>
          <w:lang w:eastAsia="zh-CN"/>
        </w:rPr>
      </w:pPr>
      <w:r>
        <w:rPr>
          <w:rFonts w:hint="eastAsia"/>
          <w:b/>
          <w:sz w:val="28"/>
          <w:lang w:eastAsia="zh-CN"/>
        </w:rPr>
        <w:t>存在的问题、原因分析及下一步整改举措</w:t>
      </w:r>
    </w:p>
    <w:p>
      <w:pPr>
        <w:tabs>
          <w:tab w:val="left" w:pos="1004"/>
        </w:tabs>
        <w:spacing w:line="360" w:lineRule="auto"/>
        <w:ind w:firstLine="468"/>
        <w:rPr>
          <w:rFonts w:ascii="宋体"/>
          <w:spacing w:val="-23"/>
          <w:sz w:val="28"/>
        </w:rPr>
      </w:pPr>
      <w:r>
        <w:rPr>
          <w:rFonts w:hint="eastAsia" w:ascii="宋体" w:hAnsi="宋体"/>
          <w:spacing w:val="-23"/>
          <w:sz w:val="28"/>
        </w:rPr>
        <w:t>重点阐述：对标习近平总书记关于教育的重要论述，新时代国家对高水平一流大学本科人才培养要求，包括教育部等八部门《关于加快构建高校思想政治工作体系的意见》精神、教育部等七部门《关于加强和改进新时代师德师风建设的意见》精神、教育部《关于推动高校形成就业与招生计划人才培养联动机制的指导意见》精神等，以及通过必选定量指标达标情况、自选定量指标及常模数据比较情况；分析学校在办学方向与落实本科地位方面存在的主要问题是什么，问题表现是什么，产生问题的根源是什么，下一步如何改。</w:t>
      </w:r>
    </w:p>
    <w:p>
      <w:pPr>
        <w:spacing w:line="440" w:lineRule="exact"/>
        <w:ind w:firstLine="560" w:firstLineChars="200"/>
      </w:pPr>
      <w:r>
        <w:rPr>
          <w:rFonts w:ascii="黑体" w:hAnsi="黑体" w:eastAsia="黑体"/>
          <w:sz w:val="28"/>
          <w:szCs w:val="28"/>
        </w:rPr>
        <w:t>2.</w:t>
      </w:r>
      <w:r>
        <w:rPr>
          <w:rFonts w:hint="eastAsia" w:ascii="黑体" w:hAnsi="黑体" w:eastAsia="黑体"/>
          <w:sz w:val="28"/>
          <w:szCs w:val="28"/>
        </w:rPr>
        <w:t>培养过程</w:t>
      </w:r>
    </w:p>
    <w:p>
      <w:pPr>
        <w:tabs>
          <w:tab w:val="left" w:pos="1035"/>
        </w:tabs>
        <w:spacing w:line="440" w:lineRule="exact"/>
        <w:ind w:firstLine="560" w:firstLineChars="200"/>
        <w:rPr>
          <w:rFonts w:ascii="黑体" w:hAnsi="黑体" w:eastAsia="黑体"/>
          <w:sz w:val="28"/>
        </w:rPr>
      </w:pPr>
      <w:r>
        <w:rPr>
          <w:rFonts w:ascii="黑体" w:hAnsi="黑体" w:eastAsia="黑体"/>
          <w:sz w:val="28"/>
        </w:rPr>
        <w:t>2.1</w:t>
      </w:r>
      <w:r>
        <w:rPr>
          <w:rFonts w:hint="eastAsia" w:ascii="黑体" w:hAnsi="黑体" w:eastAsia="黑体"/>
          <w:sz w:val="28"/>
        </w:rPr>
        <w:t>培养方案</w:t>
      </w:r>
    </w:p>
    <w:p>
      <w:pPr>
        <w:tabs>
          <w:tab w:val="left" w:pos="1004"/>
        </w:tabs>
        <w:spacing w:line="360" w:lineRule="auto"/>
        <w:ind w:firstLine="468"/>
        <w:rPr>
          <w:rFonts w:ascii="宋体"/>
          <w:spacing w:val="-23"/>
          <w:sz w:val="28"/>
        </w:rPr>
      </w:pPr>
      <w:r>
        <w:rPr>
          <w:rFonts w:hint="eastAsia" w:ascii="宋体" w:hAnsi="宋体"/>
          <w:spacing w:val="-23"/>
          <w:sz w:val="28"/>
        </w:rPr>
        <w:t>重点阐述：</w:t>
      </w:r>
      <w:r>
        <w:rPr>
          <w:rFonts w:hint="eastAsia" w:ascii="宋体"/>
          <w:spacing w:val="-23"/>
          <w:sz w:val="28"/>
        </w:rPr>
        <w:t>①</w:t>
      </w:r>
      <w:r>
        <w:rPr>
          <w:rFonts w:hint="eastAsia" w:ascii="宋体" w:hAnsi="宋体"/>
          <w:spacing w:val="-23"/>
          <w:sz w:val="28"/>
        </w:rPr>
        <w:t>学校人才培养总目标与学校办学定位、社会经济发展需要间的契合度；人才培养方案中体现德智体美劳全面发展的要求情况。</w:t>
      </w:r>
      <w:r>
        <w:rPr>
          <w:rFonts w:hint="eastAsia" w:ascii="宋体"/>
          <w:spacing w:val="-23"/>
          <w:sz w:val="28"/>
        </w:rPr>
        <w:t>②</w:t>
      </w:r>
      <w:r>
        <w:rPr>
          <w:rFonts w:hint="eastAsia" w:ascii="宋体" w:hAnsi="宋体"/>
          <w:spacing w:val="-23"/>
          <w:sz w:val="28"/>
        </w:rPr>
        <w:t>学校培养方案是否符合国家专业类标准（基本标准）要求、是否融入行业标准（特色标准）、是否体现学校定位（个性化标准）；培养方案是否体现了产出导向理念，即根据培养目标制定毕业要求、根据毕业要求构建与之相适应的课程体系。</w:t>
      </w:r>
      <w:r>
        <w:rPr>
          <w:rFonts w:hint="eastAsia" w:ascii="宋体"/>
          <w:spacing w:val="-23"/>
          <w:sz w:val="28"/>
        </w:rPr>
        <w:t>③</w:t>
      </w:r>
      <w:r>
        <w:rPr>
          <w:rFonts w:hint="eastAsia" w:ascii="宋体" w:hAnsi="宋体"/>
          <w:spacing w:val="-23"/>
          <w:sz w:val="28"/>
        </w:rPr>
        <w:t>专业培养方案是否突出了学校人才培养目标特色。学术型人才培养突出强化学生的理论基础，将教学与科研紧密结合，培养学生的创新意识和创新能力；应用型人才培养突出强化实践教学，突出实验实训内容的基础性和应用型，培养学生的知识应用能力和实践动手能力。</w:t>
      </w:r>
      <w:r>
        <w:rPr>
          <w:rFonts w:hint="eastAsia" w:ascii="宋体"/>
          <w:spacing w:val="-23"/>
          <w:sz w:val="28"/>
        </w:rPr>
        <w:t>④</w:t>
      </w:r>
      <w:r>
        <w:rPr>
          <w:rFonts w:hint="eastAsia" w:ascii="宋体" w:hAnsi="宋体"/>
          <w:spacing w:val="-23"/>
          <w:sz w:val="28"/>
        </w:rPr>
        <w:t>学校可通过必选定量指标情况、自选定量指标及常模数据比较情况，阐述学校的优势与成绩、做法与经验。</w:t>
      </w:r>
    </w:p>
    <w:p>
      <w:pPr>
        <w:tabs>
          <w:tab w:val="left" w:pos="1004"/>
        </w:tabs>
        <w:spacing w:line="360" w:lineRule="auto"/>
        <w:ind w:firstLine="468"/>
        <w:rPr>
          <w:rFonts w:ascii="宋体"/>
          <w:spacing w:val="-23"/>
          <w:sz w:val="28"/>
        </w:rPr>
      </w:pPr>
      <w:r>
        <w:rPr>
          <w:rFonts w:hint="eastAsia" w:ascii="宋体" w:hAnsi="宋体"/>
          <w:spacing w:val="-23"/>
          <w:sz w:val="28"/>
        </w:rPr>
        <w:t>支撑材料目录：列出能够证明上述自评结果的相关材料目录索引，包括学校学科专业发展规划；学校人才培养方案汇编等。</w:t>
      </w:r>
    </w:p>
    <w:p>
      <w:pPr>
        <w:tabs>
          <w:tab w:val="left" w:pos="1035"/>
        </w:tabs>
        <w:spacing w:line="440" w:lineRule="exact"/>
        <w:ind w:firstLine="560" w:firstLineChars="200"/>
      </w:pPr>
      <w:r>
        <w:rPr>
          <w:rFonts w:ascii="黑体" w:hAnsi="黑体" w:eastAsia="黑体"/>
          <w:sz w:val="28"/>
        </w:rPr>
        <w:t>2.2</w:t>
      </w:r>
      <w:r>
        <w:rPr>
          <w:rFonts w:hint="eastAsia" w:ascii="黑体" w:hAnsi="黑体" w:eastAsia="黑体"/>
          <w:sz w:val="28"/>
        </w:rPr>
        <w:t>专业建设</w:t>
      </w:r>
    </w:p>
    <w:p>
      <w:pPr>
        <w:tabs>
          <w:tab w:val="left" w:pos="1004"/>
        </w:tabs>
        <w:spacing w:line="360" w:lineRule="auto"/>
        <w:ind w:firstLine="468"/>
        <w:rPr>
          <w:rFonts w:ascii="宋体"/>
          <w:spacing w:val="-23"/>
          <w:sz w:val="28"/>
        </w:rPr>
      </w:pPr>
      <w:r>
        <w:rPr>
          <w:rFonts w:hint="eastAsia" w:ascii="宋体" w:hAnsi="宋体"/>
          <w:spacing w:val="-23"/>
          <w:sz w:val="28"/>
        </w:rPr>
        <w:t>重点阐述：</w:t>
      </w:r>
      <w:r>
        <w:rPr>
          <w:rFonts w:hint="eastAsia" w:ascii="宋体"/>
          <w:spacing w:val="-23"/>
          <w:sz w:val="28"/>
        </w:rPr>
        <w:t>①</w:t>
      </w:r>
      <w:r>
        <w:rPr>
          <w:rFonts w:hint="eastAsia" w:ascii="宋体" w:hAnsi="宋体"/>
          <w:spacing w:val="-23"/>
          <w:sz w:val="28"/>
        </w:rPr>
        <w:t>学校专业设置、专业建设与国家和区域经济发展需要的契合情况。对于学术型人才培养，专业设置与专业建设应与国家重大发展战略及社会对创新型人才需求相契合；对于应用型人才培养，专业设置与专业建设要与国家需要、区域经济社会发展及产业发展对应用型人才需求相契合。</w:t>
      </w:r>
      <w:r>
        <w:rPr>
          <w:rFonts w:hint="eastAsia" w:ascii="宋体"/>
          <w:spacing w:val="-23"/>
          <w:sz w:val="28"/>
        </w:rPr>
        <w:t>②</w:t>
      </w:r>
      <w:r>
        <w:rPr>
          <w:rFonts w:hint="eastAsia" w:ascii="宋体" w:hAnsi="宋体"/>
          <w:spacing w:val="-23"/>
          <w:sz w:val="28"/>
        </w:rPr>
        <w:t>学校深化本科专业供给侧改革，建立自主性、灵活性与规范性、稳定性相统一的专业设置管理体系和基于专业评估的专业动态调整机制情况；对于学术型人才培养要阐述如何围绕国家和社会经济发展需求设置专业、建设专业、调整专业；对于应用型人才培养要阐述如何围绕产业链和创新链设置专业、建设专业、调整专业。</w:t>
      </w:r>
      <w:r>
        <w:rPr>
          <w:rFonts w:hint="eastAsia" w:ascii="宋体"/>
          <w:spacing w:val="-23"/>
          <w:sz w:val="28"/>
        </w:rPr>
        <w:t>③</w:t>
      </w:r>
      <w:r>
        <w:rPr>
          <w:rFonts w:hint="eastAsia" w:ascii="宋体" w:hAnsi="宋体"/>
          <w:spacing w:val="-23"/>
          <w:sz w:val="28"/>
        </w:rPr>
        <w:t>学校主辅修、微专业和双学士学位培养制度建设、学生数量等情况；复合型人才培养的成效。</w:t>
      </w:r>
      <w:r>
        <w:rPr>
          <w:rFonts w:hint="eastAsia" w:ascii="宋体"/>
          <w:spacing w:val="-23"/>
          <w:sz w:val="28"/>
        </w:rPr>
        <w:t>④</w:t>
      </w:r>
      <w:r>
        <w:rPr>
          <w:rFonts w:hint="eastAsia" w:ascii="宋体" w:hAnsi="宋体"/>
          <w:spacing w:val="-23"/>
          <w:sz w:val="28"/>
        </w:rPr>
        <w:t>学校是否提供丰富的选课资源和灵活自主的选课方式以促进学生个性化发展。</w:t>
      </w:r>
      <w:r>
        <w:rPr>
          <w:rFonts w:ascii="宋体" w:hAnsi="宋体"/>
          <w:spacing w:val="-23"/>
          <w:sz w:val="28"/>
        </w:rPr>
        <w:fldChar w:fldCharType="begin"/>
      </w:r>
      <w:r>
        <w:rPr>
          <w:rFonts w:ascii="宋体" w:hAnsi="宋体"/>
          <w:spacing w:val="-23"/>
          <w:sz w:val="28"/>
        </w:rPr>
        <w:instrText xml:space="preserve"> = 5 \* GB3 </w:instrText>
      </w:r>
      <w:r>
        <w:rPr>
          <w:rFonts w:ascii="宋体" w:hAnsi="宋体"/>
          <w:spacing w:val="-23"/>
          <w:sz w:val="28"/>
        </w:rPr>
        <w:fldChar w:fldCharType="separate"/>
      </w:r>
      <w:r>
        <w:rPr>
          <w:rFonts w:hint="eastAsia" w:ascii="宋体"/>
          <w:spacing w:val="-23"/>
          <w:sz w:val="28"/>
        </w:rPr>
        <w:t>⑤</w:t>
      </w:r>
      <w:r>
        <w:rPr>
          <w:rFonts w:ascii="宋体" w:hAnsi="宋体"/>
          <w:spacing w:val="-23"/>
          <w:sz w:val="28"/>
        </w:rPr>
        <w:fldChar w:fldCharType="end"/>
      </w:r>
      <w:r>
        <w:rPr>
          <w:rFonts w:hint="eastAsia" w:ascii="宋体" w:hAnsi="宋体"/>
          <w:spacing w:val="-23"/>
          <w:sz w:val="28"/>
        </w:rPr>
        <w:t>学校可通过必选定量指标达标情况、自选定量指标及常模数据比较情况，阐述学校的优势与成绩、做法与经验。</w:t>
      </w:r>
    </w:p>
    <w:p>
      <w:pPr>
        <w:tabs>
          <w:tab w:val="left" w:pos="1004"/>
        </w:tabs>
        <w:spacing w:line="360" w:lineRule="auto"/>
        <w:ind w:firstLine="468"/>
        <w:rPr>
          <w:rFonts w:ascii="宋体"/>
          <w:spacing w:val="-23"/>
          <w:sz w:val="28"/>
        </w:rPr>
      </w:pPr>
      <w:r>
        <w:rPr>
          <w:rFonts w:hint="eastAsia" w:ascii="宋体" w:hAnsi="宋体"/>
          <w:spacing w:val="-23"/>
          <w:sz w:val="28"/>
        </w:rPr>
        <w:t>支撑材料目录：列出能够证明上述自评结果的相关材料目录索引，包括学校专业建设规划；学校制订出台的专业建设方面的制度文件；学校专业设置、布局情况统计分析；学校近三年辅修、微专业和双学士学位学生人数。</w:t>
      </w:r>
    </w:p>
    <w:p>
      <w:pPr>
        <w:tabs>
          <w:tab w:val="left" w:pos="1035"/>
        </w:tabs>
        <w:spacing w:line="440" w:lineRule="exact"/>
        <w:ind w:firstLine="560" w:firstLineChars="200"/>
      </w:pPr>
      <w:r>
        <w:rPr>
          <w:rFonts w:ascii="黑体" w:hAnsi="黑体" w:eastAsia="黑体"/>
          <w:sz w:val="28"/>
        </w:rPr>
        <w:t>2.3</w:t>
      </w:r>
      <w:r>
        <w:rPr>
          <w:rFonts w:hint="eastAsia" w:ascii="黑体" w:hAnsi="黑体" w:eastAsia="黑体"/>
          <w:sz w:val="28"/>
        </w:rPr>
        <w:t>实践教学</w:t>
      </w:r>
    </w:p>
    <w:p>
      <w:pPr>
        <w:tabs>
          <w:tab w:val="left" w:pos="1004"/>
        </w:tabs>
        <w:spacing w:line="360" w:lineRule="auto"/>
        <w:ind w:firstLine="468"/>
        <w:rPr>
          <w:rFonts w:ascii="宋体"/>
          <w:spacing w:val="-23"/>
          <w:sz w:val="28"/>
        </w:rPr>
      </w:pPr>
      <w:r>
        <w:rPr>
          <w:rFonts w:hint="eastAsia" w:ascii="宋体" w:hAnsi="宋体"/>
          <w:spacing w:val="-23"/>
          <w:sz w:val="28"/>
        </w:rPr>
        <w:t>重点阐述：</w:t>
      </w:r>
      <w:r>
        <w:rPr>
          <w:rFonts w:hint="eastAsia" w:ascii="宋体"/>
          <w:spacing w:val="-23"/>
          <w:sz w:val="28"/>
        </w:rPr>
        <w:t>①</w:t>
      </w:r>
      <w:r>
        <w:rPr>
          <w:rFonts w:hint="eastAsia" w:ascii="宋体" w:hAnsi="宋体"/>
          <w:spacing w:val="-23"/>
          <w:sz w:val="28"/>
        </w:rPr>
        <w:t>学校实践教学体系的建设思路与主要内容，推进实践教学改革措施及实施效果；</w:t>
      </w:r>
      <w:r>
        <w:rPr>
          <w:rFonts w:hint="eastAsia" w:ascii="宋体"/>
          <w:spacing w:val="-23"/>
          <w:sz w:val="28"/>
        </w:rPr>
        <w:t>②</w:t>
      </w:r>
      <w:r>
        <w:rPr>
          <w:rFonts w:hint="eastAsia" w:ascii="宋体" w:hAnsi="宋体"/>
          <w:spacing w:val="-23"/>
          <w:sz w:val="28"/>
        </w:rPr>
        <w:t>学校与科研院所或企业、行业单位合作共赢、开放共享的实践育人机制建设，支撑本科人才培养的效果情况；对于学术型人才培养，要阐述学校与科研院所、企业共建科研实践、实习实训基地情况；对于应用型人才培养要阐述与企业、行业单位共建实习实训基地情况；</w:t>
      </w:r>
      <w:r>
        <w:rPr>
          <w:rFonts w:hint="eastAsia" w:ascii="宋体"/>
          <w:spacing w:val="-23"/>
          <w:sz w:val="28"/>
        </w:rPr>
        <w:t>③</w:t>
      </w:r>
      <w:r>
        <w:rPr>
          <w:rFonts w:hint="eastAsia" w:ascii="宋体" w:hAnsi="宋体"/>
          <w:spacing w:val="-23"/>
          <w:sz w:val="28"/>
        </w:rPr>
        <w:t>学校对毕业设计（论文）选题、开题、答辩等环节的全过程管理要求，对形式、内容、难度的严格监控情况及实际完成质量情况。对于学术型人才培养，要阐述毕业论文（设计）选题来自教师专业实践和科研课题情况；对于应用型人才培养，要阐述毕业论文（设计）选题来自行业企业一线需要情况，以及聘请行业企业专家参与毕业论文（设计）指导，实行校企</w:t>
      </w:r>
      <w:r>
        <w:rPr>
          <w:rFonts w:hint="eastAsia" w:ascii="宋体"/>
          <w:spacing w:val="-23"/>
          <w:sz w:val="28"/>
        </w:rPr>
        <w:t>“</w:t>
      </w:r>
      <w:r>
        <w:rPr>
          <w:rFonts w:hint="eastAsia" w:ascii="宋体" w:hAnsi="宋体"/>
          <w:spacing w:val="-23"/>
          <w:sz w:val="28"/>
        </w:rPr>
        <w:t>双导师</w:t>
      </w:r>
      <w:r>
        <w:rPr>
          <w:rFonts w:hint="eastAsia" w:ascii="宋体"/>
          <w:spacing w:val="-23"/>
          <w:sz w:val="28"/>
        </w:rPr>
        <w:t>”</w:t>
      </w:r>
      <w:r>
        <w:rPr>
          <w:rFonts w:hint="eastAsia" w:ascii="宋体" w:hAnsi="宋体"/>
          <w:spacing w:val="-23"/>
          <w:sz w:val="28"/>
        </w:rPr>
        <w:t>制情况。</w:t>
      </w:r>
      <w:r>
        <w:rPr>
          <w:rFonts w:hint="eastAsia" w:ascii="宋体"/>
          <w:spacing w:val="-23"/>
          <w:sz w:val="28"/>
        </w:rPr>
        <w:t>④</w:t>
      </w:r>
      <w:r>
        <w:rPr>
          <w:rFonts w:hint="eastAsia" w:ascii="宋体" w:hAnsi="宋体"/>
          <w:spacing w:val="-23"/>
          <w:sz w:val="28"/>
        </w:rPr>
        <w:t>学校可通过必选定量指标达标情况、自选定量指标及常模数据比较情况，阐述学校的优势与成绩、做法与经验。</w:t>
      </w:r>
    </w:p>
    <w:p>
      <w:pPr>
        <w:tabs>
          <w:tab w:val="left" w:pos="1004"/>
        </w:tabs>
        <w:spacing w:line="360" w:lineRule="auto"/>
        <w:ind w:firstLine="468"/>
        <w:rPr>
          <w:rFonts w:ascii="宋体"/>
          <w:spacing w:val="-23"/>
          <w:sz w:val="28"/>
        </w:rPr>
      </w:pPr>
      <w:r>
        <w:rPr>
          <w:rFonts w:hint="eastAsia" w:ascii="宋体" w:hAnsi="宋体"/>
          <w:spacing w:val="-23"/>
          <w:sz w:val="28"/>
        </w:rPr>
        <w:t>支撑材料目录：列出能够证明上述自评结果的相关材料目录索引，包括学校制订的实践教学方面的制度文件；学校设计性、综合性实验开设与实验室开放情况统计；近两年毕业论文（设计）一览表，包括选题来源情况统计分析等。</w:t>
      </w:r>
    </w:p>
    <w:p>
      <w:pPr>
        <w:tabs>
          <w:tab w:val="left" w:pos="1035"/>
        </w:tabs>
        <w:spacing w:line="440" w:lineRule="exact"/>
        <w:ind w:firstLine="560" w:firstLineChars="200"/>
      </w:pPr>
      <w:r>
        <w:rPr>
          <w:rFonts w:ascii="黑体" w:hAnsi="黑体" w:eastAsia="黑体"/>
          <w:sz w:val="28"/>
        </w:rPr>
        <w:t>2.4</w:t>
      </w:r>
      <w:r>
        <w:rPr>
          <w:rFonts w:hint="eastAsia" w:ascii="黑体" w:hAnsi="黑体" w:eastAsia="黑体"/>
          <w:sz w:val="28"/>
        </w:rPr>
        <w:t>课堂教学</w:t>
      </w:r>
    </w:p>
    <w:p>
      <w:pPr>
        <w:tabs>
          <w:tab w:val="left" w:pos="1004"/>
        </w:tabs>
        <w:spacing w:line="360" w:lineRule="auto"/>
        <w:ind w:firstLine="468"/>
        <w:rPr>
          <w:rFonts w:ascii="宋体"/>
          <w:spacing w:val="-23"/>
          <w:sz w:val="28"/>
        </w:rPr>
      </w:pPr>
      <w:r>
        <w:rPr>
          <w:rFonts w:hint="eastAsia" w:ascii="宋体" w:hAnsi="宋体"/>
          <w:spacing w:val="-23"/>
          <w:sz w:val="28"/>
        </w:rPr>
        <w:t>重点阐述：</w:t>
      </w:r>
      <w:r>
        <w:rPr>
          <w:rFonts w:hint="eastAsia" w:ascii="宋体"/>
          <w:spacing w:val="-23"/>
          <w:sz w:val="28"/>
        </w:rPr>
        <w:t>①</w:t>
      </w:r>
      <w:r>
        <w:rPr>
          <w:rFonts w:hint="eastAsia" w:ascii="宋体" w:hAnsi="宋体"/>
          <w:spacing w:val="-23"/>
          <w:sz w:val="28"/>
        </w:rPr>
        <w:t>学校推动课程教学从</w:t>
      </w:r>
      <w:r>
        <w:rPr>
          <w:rFonts w:hint="eastAsia" w:ascii="宋体"/>
          <w:spacing w:val="-23"/>
          <w:sz w:val="28"/>
        </w:rPr>
        <w:t>“</w:t>
      </w:r>
      <w:r>
        <w:rPr>
          <w:rFonts w:hint="eastAsia" w:ascii="宋体" w:hAnsi="宋体"/>
          <w:spacing w:val="-23"/>
          <w:sz w:val="28"/>
        </w:rPr>
        <w:t>以教为中心</w:t>
      </w:r>
      <w:r>
        <w:rPr>
          <w:rFonts w:hint="eastAsia" w:ascii="宋体"/>
          <w:spacing w:val="-23"/>
          <w:sz w:val="28"/>
        </w:rPr>
        <w:t>”</w:t>
      </w:r>
      <w:r>
        <w:rPr>
          <w:rFonts w:hint="eastAsia" w:ascii="宋体" w:hAnsi="宋体"/>
          <w:spacing w:val="-23"/>
          <w:sz w:val="28"/>
        </w:rPr>
        <w:t>向</w:t>
      </w:r>
      <w:r>
        <w:rPr>
          <w:rFonts w:hint="eastAsia" w:ascii="宋体"/>
          <w:spacing w:val="-23"/>
          <w:sz w:val="28"/>
        </w:rPr>
        <w:t>“</w:t>
      </w:r>
      <w:r>
        <w:rPr>
          <w:rFonts w:hint="eastAsia" w:ascii="宋体" w:hAnsi="宋体"/>
          <w:spacing w:val="-23"/>
          <w:sz w:val="28"/>
        </w:rPr>
        <w:t>以学为中心</w:t>
      </w:r>
      <w:r>
        <w:rPr>
          <w:rFonts w:hint="eastAsia" w:ascii="宋体"/>
          <w:spacing w:val="-23"/>
          <w:sz w:val="28"/>
        </w:rPr>
        <w:t>”</w:t>
      </w:r>
      <w:r>
        <w:rPr>
          <w:rFonts w:hint="eastAsia" w:ascii="宋体" w:hAnsi="宋体"/>
          <w:spacing w:val="-23"/>
          <w:sz w:val="28"/>
        </w:rPr>
        <w:t>的转变，促进教与学、教学与科研的紧密结合情况；以学生学习成果为导向，推进教学内容及考试评价方法改革情况。</w:t>
      </w:r>
      <w:r>
        <w:rPr>
          <w:rFonts w:hint="eastAsia" w:ascii="宋体"/>
          <w:spacing w:val="-23"/>
          <w:sz w:val="28"/>
        </w:rPr>
        <w:t>②</w:t>
      </w:r>
      <w:r>
        <w:rPr>
          <w:rFonts w:hint="eastAsia" w:ascii="宋体" w:hAnsi="宋体"/>
          <w:spacing w:val="-23"/>
          <w:sz w:val="28"/>
        </w:rPr>
        <w:t>学校推动互联网、大数据、人工智能、虚拟现实等现代技术在教学和管理中的应用，推动</w:t>
      </w:r>
      <w:r>
        <w:rPr>
          <w:rFonts w:hint="eastAsia" w:ascii="宋体"/>
          <w:spacing w:val="-23"/>
          <w:sz w:val="28"/>
        </w:rPr>
        <w:t>“</w:t>
      </w:r>
      <w:r>
        <w:rPr>
          <w:rFonts w:hint="eastAsia" w:ascii="宋体" w:hAnsi="宋体"/>
          <w:spacing w:val="-23"/>
          <w:sz w:val="28"/>
        </w:rPr>
        <w:t>互联网</w:t>
      </w:r>
      <w:r>
        <w:rPr>
          <w:rFonts w:ascii="宋体" w:hAnsi="宋体"/>
          <w:spacing w:val="-23"/>
          <w:sz w:val="28"/>
        </w:rPr>
        <w:t>+</w:t>
      </w:r>
      <w:r>
        <w:rPr>
          <w:rFonts w:hint="eastAsia" w:ascii="宋体" w:hAnsi="宋体"/>
          <w:spacing w:val="-23"/>
          <w:sz w:val="28"/>
        </w:rPr>
        <w:t>高等教育</w:t>
      </w:r>
      <w:r>
        <w:rPr>
          <w:rFonts w:hint="eastAsia" w:ascii="宋体"/>
          <w:spacing w:val="-23"/>
          <w:sz w:val="28"/>
        </w:rPr>
        <w:t>”</w:t>
      </w:r>
      <w:r>
        <w:rPr>
          <w:rFonts w:hint="eastAsia" w:ascii="宋体" w:hAnsi="宋体"/>
          <w:spacing w:val="-23"/>
          <w:sz w:val="28"/>
        </w:rPr>
        <w:t>新形态信息技术与教学过程融合，以及加强信息化教学环境与资源建设情况。</w:t>
      </w:r>
      <w:r>
        <w:rPr>
          <w:rFonts w:hint="eastAsia" w:ascii="宋体"/>
          <w:spacing w:val="-23"/>
          <w:sz w:val="28"/>
        </w:rPr>
        <w:t>③</w:t>
      </w:r>
      <w:r>
        <w:rPr>
          <w:rFonts w:hint="eastAsia" w:ascii="宋体" w:hAnsi="宋体"/>
          <w:spacing w:val="-23"/>
          <w:sz w:val="28"/>
        </w:rPr>
        <w:t>学校建立健全教材管理机构和工作制度，依照教材审核选用标准和程序选用教材情况；推进马工程重点教材统一使用情况；以及在教材选用工作出现负面问题的处理情况。</w:t>
      </w:r>
      <w:r>
        <w:rPr>
          <w:rFonts w:hint="eastAsia" w:ascii="宋体"/>
          <w:spacing w:val="-23"/>
          <w:sz w:val="28"/>
        </w:rPr>
        <w:t>④</w:t>
      </w:r>
      <w:r>
        <w:rPr>
          <w:rFonts w:hint="eastAsia" w:ascii="宋体" w:hAnsi="宋体"/>
          <w:spacing w:val="-23"/>
          <w:sz w:val="28"/>
        </w:rPr>
        <w:t>学校可通过必选定量指标达标情况、自选定量指标及常模数据比较情况，阐述学校的优势与成绩、做法与经验。</w:t>
      </w:r>
    </w:p>
    <w:p>
      <w:pPr>
        <w:tabs>
          <w:tab w:val="left" w:pos="1004"/>
        </w:tabs>
        <w:spacing w:line="360" w:lineRule="auto"/>
        <w:ind w:firstLine="468"/>
        <w:rPr>
          <w:rFonts w:ascii="宋体"/>
          <w:spacing w:val="-23"/>
          <w:sz w:val="28"/>
        </w:rPr>
      </w:pPr>
      <w:r>
        <w:rPr>
          <w:rFonts w:hint="eastAsia" w:ascii="宋体" w:hAnsi="宋体"/>
          <w:spacing w:val="-23"/>
          <w:sz w:val="28"/>
        </w:rPr>
        <w:t>支撑材料目录：列出能够证明上述自评结果的相关材料目录索引，包括学校在课堂教学改革方面出台的制度文件或实施方案；教材审核选用标准和选用程序的制度规定；学校开展课堂教学质量评价方面的支撑材料等。</w:t>
      </w:r>
    </w:p>
    <w:p>
      <w:pPr>
        <w:tabs>
          <w:tab w:val="left" w:pos="1035"/>
        </w:tabs>
        <w:spacing w:line="440" w:lineRule="exact"/>
        <w:ind w:firstLine="560" w:firstLineChars="200"/>
      </w:pPr>
      <w:r>
        <w:rPr>
          <w:rFonts w:ascii="黑体" w:hAnsi="黑体" w:eastAsia="黑体"/>
          <w:sz w:val="28"/>
        </w:rPr>
        <w:t>2.5</w:t>
      </w:r>
      <w:r>
        <w:rPr>
          <w:rFonts w:hint="eastAsia" w:ascii="黑体" w:hAnsi="黑体" w:eastAsia="黑体"/>
          <w:sz w:val="28"/>
        </w:rPr>
        <w:t>卓越培养</w:t>
      </w:r>
      <w:r>
        <w:rPr>
          <w:b/>
          <w:sz w:val="28"/>
        </w:rPr>
        <w:t>*</w:t>
      </w:r>
      <w:r>
        <w:rPr>
          <w:rFonts w:hint="eastAsia"/>
          <w:sz w:val="28"/>
        </w:rPr>
        <w:t>（</w:t>
      </w:r>
      <w:r>
        <w:rPr>
          <w:rFonts w:hint="eastAsia"/>
          <w:spacing w:val="-3"/>
          <w:sz w:val="28"/>
        </w:rPr>
        <w:t>学校自选要素</w:t>
      </w:r>
      <w:r>
        <w:rPr>
          <w:rFonts w:hint="eastAsia"/>
          <w:sz w:val="28"/>
        </w:rPr>
        <w:t>）</w:t>
      </w:r>
    </w:p>
    <w:p>
      <w:pPr>
        <w:tabs>
          <w:tab w:val="left" w:pos="1004"/>
        </w:tabs>
        <w:spacing w:line="360" w:lineRule="auto"/>
        <w:ind w:firstLine="468"/>
        <w:rPr>
          <w:rFonts w:ascii="宋体"/>
          <w:spacing w:val="-23"/>
          <w:sz w:val="28"/>
        </w:rPr>
      </w:pPr>
      <w:r>
        <w:rPr>
          <w:rFonts w:hint="eastAsia" w:ascii="宋体" w:hAnsi="宋体"/>
          <w:spacing w:val="-23"/>
          <w:sz w:val="28"/>
        </w:rPr>
        <w:t>重点阐述：</w:t>
      </w:r>
      <w:r>
        <w:rPr>
          <w:rFonts w:hint="eastAsia" w:ascii="宋体"/>
          <w:spacing w:val="-23"/>
          <w:sz w:val="28"/>
        </w:rPr>
        <w:t>①</w:t>
      </w:r>
      <w:r>
        <w:rPr>
          <w:rFonts w:hint="eastAsia" w:ascii="宋体" w:hAnsi="宋体"/>
          <w:spacing w:val="-23"/>
          <w:sz w:val="28"/>
        </w:rPr>
        <w:t>学校在人才培养模式改革方面所开展的工作及其取得的成效；对于学术型人才培养，要阐述如何推进科教协同拔尖人才培养模式改革与实践；对于应用型人才培养，要阐述如何推进产教融合卓越人才培养模式改革与实践。</w:t>
      </w:r>
      <w:r>
        <w:rPr>
          <w:rFonts w:hint="eastAsia" w:ascii="宋体"/>
          <w:spacing w:val="-23"/>
          <w:sz w:val="28"/>
        </w:rPr>
        <w:t>②</w:t>
      </w:r>
      <w:r>
        <w:rPr>
          <w:rFonts w:hint="eastAsia" w:ascii="宋体" w:hAnsi="宋体"/>
          <w:spacing w:val="-23"/>
          <w:sz w:val="28"/>
        </w:rPr>
        <w:t>学校课程体系整体设计的思路；公共课、专业基础课、专业课等各类课程结构的优化情况，以及课程建设规划建设情况。</w:t>
      </w:r>
      <w:r>
        <w:rPr>
          <w:rFonts w:hint="eastAsia" w:ascii="宋体"/>
          <w:spacing w:val="-23"/>
          <w:sz w:val="28"/>
        </w:rPr>
        <w:t>③</w:t>
      </w:r>
      <w:r>
        <w:rPr>
          <w:rFonts w:hint="eastAsia" w:ascii="宋体" w:hAnsi="宋体"/>
          <w:spacing w:val="-23"/>
          <w:sz w:val="28"/>
        </w:rPr>
        <w:t>学校在新工科、新农科、新医科、新文科建设以及围绕</w:t>
      </w:r>
      <w:r>
        <w:rPr>
          <w:rFonts w:hint="eastAsia" w:ascii="宋体"/>
          <w:spacing w:val="-23"/>
          <w:sz w:val="28"/>
        </w:rPr>
        <w:t>“</w:t>
      </w:r>
      <w:r>
        <w:rPr>
          <w:rFonts w:hint="eastAsia" w:ascii="宋体" w:hAnsi="宋体"/>
          <w:spacing w:val="-23"/>
          <w:sz w:val="28"/>
        </w:rPr>
        <w:t>培育高水平教学成果</w:t>
      </w:r>
      <w:r>
        <w:rPr>
          <w:rFonts w:hint="eastAsia" w:ascii="宋体"/>
          <w:spacing w:val="-23"/>
          <w:sz w:val="28"/>
        </w:rPr>
        <w:t>”</w:t>
      </w:r>
      <w:r>
        <w:rPr>
          <w:rFonts w:hint="eastAsia" w:ascii="宋体" w:hAnsi="宋体"/>
          <w:spacing w:val="-23"/>
          <w:sz w:val="28"/>
        </w:rPr>
        <w:t>开展教研教改项目建设的举措及实施成效。</w:t>
      </w:r>
      <w:r>
        <w:rPr>
          <w:rFonts w:hint="eastAsia" w:ascii="宋体"/>
          <w:spacing w:val="-23"/>
          <w:sz w:val="28"/>
        </w:rPr>
        <w:t>④</w:t>
      </w:r>
      <w:r>
        <w:rPr>
          <w:rFonts w:hint="eastAsia" w:ascii="宋体" w:hAnsi="宋体"/>
          <w:spacing w:val="-23"/>
          <w:sz w:val="28"/>
        </w:rPr>
        <w:t>学校推动一流专业建设的举措及取得的建设成效。</w:t>
      </w:r>
      <w:r>
        <w:rPr>
          <w:rFonts w:hint="eastAsia" w:ascii="宋体"/>
          <w:spacing w:val="-23"/>
          <w:sz w:val="28"/>
        </w:rPr>
        <w:t>⑤</w:t>
      </w:r>
      <w:r>
        <w:rPr>
          <w:rFonts w:hint="eastAsia" w:ascii="宋体" w:hAnsi="宋体"/>
          <w:spacing w:val="-23"/>
          <w:sz w:val="28"/>
        </w:rPr>
        <w:t>学校推动一流课程建设的举措及取得的建设成效。</w:t>
      </w:r>
      <w:r>
        <w:rPr>
          <w:rFonts w:hint="eastAsia" w:ascii="宋体"/>
          <w:spacing w:val="-23"/>
          <w:sz w:val="28"/>
        </w:rPr>
        <w:t>⑥</w:t>
      </w:r>
      <w:r>
        <w:rPr>
          <w:rFonts w:hint="eastAsia" w:ascii="宋体" w:hAnsi="宋体"/>
          <w:spacing w:val="-23"/>
          <w:sz w:val="28"/>
        </w:rPr>
        <w:t>学校推动出台的优秀教材建设举措及实施成效。</w:t>
      </w:r>
      <w:r>
        <w:rPr>
          <w:rFonts w:hint="eastAsia" w:ascii="宋体"/>
          <w:spacing w:val="-23"/>
          <w:sz w:val="28"/>
        </w:rPr>
        <w:t>⑦</w:t>
      </w:r>
      <w:r>
        <w:rPr>
          <w:rFonts w:hint="eastAsia" w:ascii="宋体" w:hAnsi="宋体"/>
          <w:spacing w:val="-23"/>
          <w:sz w:val="28"/>
        </w:rPr>
        <w:t>学校可通过必选定量指标达标情况、自选定量指标及常模数据比较情况，阐述学校的优势与成绩、做法与经验。</w:t>
      </w:r>
    </w:p>
    <w:p>
      <w:pPr>
        <w:tabs>
          <w:tab w:val="left" w:pos="1004"/>
        </w:tabs>
        <w:spacing w:line="360" w:lineRule="auto"/>
        <w:ind w:firstLine="468"/>
        <w:rPr>
          <w:rFonts w:ascii="宋体"/>
          <w:spacing w:val="-23"/>
          <w:sz w:val="28"/>
        </w:rPr>
      </w:pPr>
      <w:r>
        <w:rPr>
          <w:rFonts w:hint="eastAsia" w:ascii="宋体" w:hAnsi="宋体"/>
          <w:spacing w:val="-23"/>
          <w:sz w:val="28"/>
        </w:rPr>
        <w:t>支撑材料目录：列出能够证明上述自评结果的相关材料目录索引，包括学校专业建设、课程建设方面的建设规划和制度文件；新工科、新农科、新医科、新文科建设方案；一流专业建设、一流课程建设规划与建设方案；优秀教材建设规划；推动改革出台的相关政策等。</w:t>
      </w:r>
    </w:p>
    <w:p>
      <w:pPr>
        <w:tabs>
          <w:tab w:val="left" w:pos="1035"/>
        </w:tabs>
        <w:spacing w:line="440" w:lineRule="exact"/>
        <w:ind w:firstLine="562" w:firstLineChars="200"/>
        <w:rPr>
          <w:rFonts w:ascii="黑体" w:hAnsi="黑体" w:eastAsia="黑体"/>
          <w:b/>
          <w:sz w:val="28"/>
        </w:rPr>
      </w:pPr>
      <w:r>
        <w:rPr>
          <w:rFonts w:ascii="黑体" w:hAnsi="黑体" w:eastAsia="黑体"/>
          <w:b/>
          <w:sz w:val="28"/>
        </w:rPr>
        <w:t>2.6</w:t>
      </w:r>
      <w:r>
        <w:rPr>
          <w:rFonts w:hint="eastAsia" w:ascii="黑体" w:hAnsi="黑体" w:eastAsia="黑体"/>
          <w:b/>
          <w:sz w:val="28"/>
        </w:rPr>
        <w:t>创新创业教育</w:t>
      </w:r>
    </w:p>
    <w:p>
      <w:pPr>
        <w:tabs>
          <w:tab w:val="left" w:pos="1004"/>
        </w:tabs>
        <w:spacing w:line="360" w:lineRule="auto"/>
        <w:ind w:firstLine="468"/>
        <w:rPr>
          <w:rFonts w:ascii="宋体"/>
          <w:spacing w:val="-23"/>
          <w:sz w:val="28"/>
        </w:rPr>
      </w:pPr>
      <w:r>
        <w:rPr>
          <w:rFonts w:hint="eastAsia" w:ascii="宋体" w:hAnsi="宋体"/>
          <w:spacing w:val="-23"/>
          <w:sz w:val="28"/>
        </w:rPr>
        <w:t>重点阐述：</w:t>
      </w:r>
      <w:r>
        <w:rPr>
          <w:rFonts w:hint="eastAsia" w:ascii="宋体"/>
          <w:spacing w:val="-23"/>
          <w:sz w:val="28"/>
        </w:rPr>
        <w:t>①</w:t>
      </w:r>
      <w:r>
        <w:rPr>
          <w:rFonts w:hint="eastAsia" w:ascii="宋体" w:hAnsi="宋体"/>
          <w:spacing w:val="-23"/>
          <w:sz w:val="28"/>
        </w:rPr>
        <w:t>学校构建创新创业教育工作体系情况，以及是否有效运行；创新创业教育平台建设情况，包括科研基地向大学生开放情况、大学生创新创业与社会需求对接平台等。</w:t>
      </w:r>
      <w:r>
        <w:rPr>
          <w:rFonts w:hint="eastAsia" w:ascii="宋体"/>
          <w:spacing w:val="-23"/>
          <w:sz w:val="28"/>
        </w:rPr>
        <w:t>②</w:t>
      </w:r>
      <w:r>
        <w:rPr>
          <w:rFonts w:hint="eastAsia" w:ascii="宋体" w:hAnsi="宋体"/>
          <w:spacing w:val="-23"/>
          <w:sz w:val="28"/>
        </w:rPr>
        <w:t>学校将创新创业教育融于人才培养方案，面向全体学生所开展的因材施教、强化创新实践情况、推动举措与实施成效。</w:t>
      </w:r>
      <w:r>
        <w:rPr>
          <w:rFonts w:hint="eastAsia" w:ascii="宋体"/>
          <w:spacing w:val="-23"/>
          <w:sz w:val="28"/>
        </w:rPr>
        <w:t>③</w:t>
      </w:r>
      <w:r>
        <w:rPr>
          <w:rFonts w:hint="eastAsia" w:ascii="宋体" w:hAnsi="宋体"/>
          <w:spacing w:val="-23"/>
          <w:sz w:val="28"/>
        </w:rPr>
        <w:t>学校创新创业的氛围情况；学生参与创新创业教育的积极性以及所取得的成果。</w:t>
      </w:r>
      <w:r>
        <w:rPr>
          <w:rFonts w:hint="eastAsia" w:ascii="宋体"/>
          <w:spacing w:val="-23"/>
          <w:sz w:val="28"/>
        </w:rPr>
        <w:t>④</w:t>
      </w:r>
      <w:r>
        <w:rPr>
          <w:rFonts w:hint="eastAsia" w:ascii="宋体" w:hAnsi="宋体"/>
          <w:spacing w:val="-23"/>
          <w:sz w:val="28"/>
        </w:rPr>
        <w:t>学校可通过必选定量指标达标情况、自选定量指标及常模数据比较情况，阐述学校的优势与成绩、做法与经验。</w:t>
      </w:r>
    </w:p>
    <w:p>
      <w:pPr>
        <w:tabs>
          <w:tab w:val="left" w:pos="1004"/>
        </w:tabs>
        <w:spacing w:line="360" w:lineRule="auto"/>
        <w:ind w:firstLine="468"/>
        <w:rPr>
          <w:rFonts w:ascii="宋体"/>
          <w:spacing w:val="-23"/>
          <w:sz w:val="28"/>
        </w:rPr>
      </w:pPr>
      <w:r>
        <w:rPr>
          <w:rFonts w:hint="eastAsia" w:ascii="宋体" w:hAnsi="宋体"/>
          <w:spacing w:val="-23"/>
          <w:sz w:val="28"/>
        </w:rPr>
        <w:t>支撑材料目录：列出能够证明上述自评结果的相关材料目录索引，包括学校在创新创业教育方面制订出台的制度文件；学校高水平教师指导本科生开展创新创业训练的有关材料；国家级大学生创新创业训练计划项目数、</w:t>
      </w:r>
      <w:r>
        <w:rPr>
          <w:rFonts w:hint="eastAsia" w:ascii="宋体"/>
          <w:spacing w:val="-23"/>
          <w:sz w:val="28"/>
        </w:rPr>
        <w:t>“</w:t>
      </w:r>
      <w:r>
        <w:rPr>
          <w:rFonts w:hint="eastAsia" w:ascii="宋体" w:hAnsi="宋体"/>
          <w:spacing w:val="-23"/>
          <w:sz w:val="28"/>
        </w:rPr>
        <w:t>互联网</w:t>
      </w:r>
      <w:r>
        <w:rPr>
          <w:rFonts w:ascii="宋体" w:hAnsi="宋体"/>
          <w:spacing w:val="-23"/>
          <w:sz w:val="28"/>
        </w:rPr>
        <w:t>+</w:t>
      </w:r>
      <w:r>
        <w:rPr>
          <w:rFonts w:hint="eastAsia" w:ascii="宋体" w:hAnsi="宋体"/>
          <w:spacing w:val="-23"/>
          <w:sz w:val="28"/>
        </w:rPr>
        <w:t>”大学生创新创业大赛获奖项目、本科生参加国内外大赛的获奖项目、本科生发表的论文及获批国家发明专利等统计表；本科生创业典型材料等。</w:t>
      </w:r>
    </w:p>
    <w:p>
      <w:pPr>
        <w:tabs>
          <w:tab w:val="left" w:pos="1035"/>
        </w:tabs>
        <w:spacing w:line="440" w:lineRule="exact"/>
        <w:ind w:firstLine="562" w:firstLineChars="200"/>
        <w:rPr>
          <w:b/>
          <w:sz w:val="28"/>
        </w:rPr>
      </w:pPr>
      <w:r>
        <w:rPr>
          <w:b/>
          <w:sz w:val="28"/>
        </w:rPr>
        <w:t>2.7</w:t>
      </w:r>
      <w:r>
        <w:rPr>
          <w:rFonts w:hint="eastAsia"/>
          <w:b/>
          <w:sz w:val="28"/>
        </w:rPr>
        <w:t>存在的问题、原因分析及下一步整改举措</w:t>
      </w:r>
    </w:p>
    <w:p>
      <w:pPr>
        <w:spacing w:line="440" w:lineRule="exact"/>
        <w:ind w:firstLine="562" w:firstLineChars="200"/>
      </w:pPr>
      <w:r>
        <w:rPr>
          <w:rFonts w:hint="eastAsia"/>
          <w:b/>
          <w:sz w:val="28"/>
        </w:rPr>
        <w:t>重点阐述：</w:t>
      </w:r>
      <w:r>
        <w:rPr>
          <w:rFonts w:hint="eastAsia"/>
          <w:spacing w:val="-10"/>
          <w:sz w:val="28"/>
          <w:szCs w:val="28"/>
        </w:rPr>
        <w:t>对照国家对人才培养的各项要求，以及通过必选定量指标达标情况、自选定量指标及常模数据比较情况，分析学校在人才培养过程中存在的主要问题是什么，问题表现是什么，产生问题的根源是什么，下一步如何改。</w:t>
      </w:r>
    </w:p>
    <w:p>
      <w:pPr>
        <w:spacing w:line="440" w:lineRule="exact"/>
        <w:ind w:firstLine="560" w:firstLineChars="200"/>
      </w:pPr>
      <w:r>
        <w:rPr>
          <w:rFonts w:ascii="黑体" w:hAnsi="黑体" w:eastAsia="黑体"/>
          <w:sz w:val="28"/>
          <w:szCs w:val="28"/>
        </w:rPr>
        <w:t>3.</w:t>
      </w:r>
      <w:r>
        <w:rPr>
          <w:rFonts w:hint="eastAsia" w:ascii="黑体" w:hAnsi="黑体" w:eastAsia="黑体"/>
          <w:sz w:val="28"/>
          <w:szCs w:val="28"/>
        </w:rPr>
        <w:t>教学资源与利用</w:t>
      </w:r>
    </w:p>
    <w:p>
      <w:pPr>
        <w:pStyle w:val="170"/>
        <w:numPr>
          <w:ilvl w:val="1"/>
          <w:numId w:val="14"/>
        </w:numPr>
        <w:tabs>
          <w:tab w:val="left" w:pos="1035"/>
        </w:tabs>
        <w:spacing w:line="440" w:lineRule="exact"/>
        <w:ind w:left="0" w:firstLine="560" w:firstLineChars="200"/>
        <w:jc w:val="both"/>
        <w:rPr>
          <w:sz w:val="28"/>
          <w:lang w:eastAsia="zh-CN"/>
        </w:rPr>
      </w:pPr>
      <w:r>
        <w:rPr>
          <w:rFonts w:hint="eastAsia"/>
          <w:sz w:val="28"/>
          <w:lang w:eastAsia="zh-CN"/>
        </w:rPr>
        <w:t>设施条件</w:t>
      </w:r>
      <w:r>
        <w:rPr>
          <w:sz w:val="28"/>
          <w:lang w:eastAsia="zh-CN"/>
        </w:rPr>
        <w:t>**</w:t>
      </w:r>
      <w:r>
        <w:rPr>
          <w:rFonts w:hint="eastAsia"/>
          <w:sz w:val="28"/>
          <w:lang w:eastAsia="zh-CN"/>
        </w:rPr>
        <w:t>（</w:t>
      </w:r>
      <w:r>
        <w:rPr>
          <w:rFonts w:hint="eastAsia"/>
          <w:spacing w:val="-3"/>
          <w:sz w:val="28"/>
          <w:lang w:eastAsia="zh-CN"/>
        </w:rPr>
        <w:t>首次参加审核评估高校必选项</w:t>
      </w:r>
      <w:r>
        <w:rPr>
          <w:rFonts w:hint="eastAsia"/>
          <w:sz w:val="28"/>
          <w:lang w:eastAsia="zh-CN"/>
        </w:rPr>
        <w:t>）</w:t>
      </w:r>
    </w:p>
    <w:p>
      <w:pPr>
        <w:tabs>
          <w:tab w:val="left" w:pos="1004"/>
        </w:tabs>
        <w:spacing w:line="360" w:lineRule="auto"/>
        <w:ind w:firstLine="468"/>
        <w:rPr>
          <w:rFonts w:ascii="宋体"/>
          <w:spacing w:val="-23"/>
          <w:sz w:val="28"/>
        </w:rPr>
      </w:pPr>
      <w:r>
        <w:rPr>
          <w:rFonts w:hint="eastAsia" w:ascii="宋体" w:hAnsi="宋体"/>
          <w:spacing w:val="-23"/>
          <w:sz w:val="28"/>
        </w:rPr>
        <w:t>重点阐述：</w:t>
      </w:r>
      <w:r>
        <w:rPr>
          <w:rFonts w:hint="eastAsia" w:ascii="宋体"/>
          <w:spacing w:val="-23"/>
          <w:sz w:val="28"/>
        </w:rPr>
        <w:t>①</w:t>
      </w:r>
      <w:r>
        <w:rPr>
          <w:rFonts w:hint="eastAsia" w:ascii="宋体" w:hAnsi="宋体"/>
          <w:spacing w:val="-23"/>
          <w:sz w:val="28"/>
        </w:rPr>
        <w:t>学校近三年日常教学经费投入与使用情况，是否得到优先保障；图书资料、校园网等满足教学需要情况。</w:t>
      </w:r>
      <w:r>
        <w:rPr>
          <w:rFonts w:hint="eastAsia" w:ascii="宋体"/>
          <w:spacing w:val="-23"/>
          <w:sz w:val="28"/>
        </w:rPr>
        <w:t>②</w:t>
      </w:r>
      <w:r>
        <w:rPr>
          <w:rFonts w:hint="eastAsia" w:ascii="宋体" w:hAnsi="宋体"/>
          <w:spacing w:val="-23"/>
          <w:sz w:val="28"/>
        </w:rPr>
        <w:t>学校的各类教学设施（校舍、运动场所、体育设施、艺术场馆、实验室、实习基地及课堂教学设施、辅助教学设施、图书馆、大学生活动中心、创新创业基地等公共教学设施）优化配置、满足教学需求及有效利用情况。</w:t>
      </w:r>
    </w:p>
    <w:p>
      <w:pPr>
        <w:tabs>
          <w:tab w:val="left" w:pos="1004"/>
        </w:tabs>
        <w:spacing w:line="360" w:lineRule="auto"/>
        <w:ind w:firstLine="468"/>
        <w:rPr>
          <w:rFonts w:ascii="宋体"/>
          <w:spacing w:val="-23"/>
          <w:sz w:val="28"/>
        </w:rPr>
      </w:pPr>
      <w:r>
        <w:rPr>
          <w:rFonts w:hint="eastAsia" w:ascii="宋体" w:hAnsi="宋体"/>
          <w:spacing w:val="-23"/>
          <w:sz w:val="28"/>
        </w:rPr>
        <w:t>支撑材料目录：列出能够证明上述自评结果的相关材料目录索引，包括学校教学条件、设施等资源配置与利用方面的材料。</w:t>
      </w:r>
    </w:p>
    <w:p>
      <w:pPr>
        <w:pStyle w:val="170"/>
        <w:numPr>
          <w:ilvl w:val="1"/>
          <w:numId w:val="14"/>
        </w:numPr>
        <w:tabs>
          <w:tab w:val="left" w:pos="1035"/>
        </w:tabs>
        <w:spacing w:line="440" w:lineRule="exact"/>
        <w:ind w:left="0" w:firstLine="560" w:firstLineChars="200"/>
        <w:jc w:val="both"/>
        <w:rPr>
          <w:sz w:val="28"/>
        </w:rPr>
      </w:pPr>
      <w:r>
        <w:rPr>
          <w:rFonts w:hint="eastAsia"/>
          <w:sz w:val="28"/>
        </w:rPr>
        <w:t>资源建设</w:t>
      </w:r>
    </w:p>
    <w:p>
      <w:pPr>
        <w:tabs>
          <w:tab w:val="left" w:pos="1004"/>
        </w:tabs>
        <w:spacing w:line="360" w:lineRule="auto"/>
        <w:ind w:firstLine="468"/>
        <w:rPr>
          <w:rFonts w:ascii="宋体"/>
          <w:spacing w:val="-23"/>
          <w:sz w:val="28"/>
        </w:rPr>
      </w:pPr>
      <w:r>
        <w:rPr>
          <w:rFonts w:hint="eastAsia" w:ascii="宋体" w:hAnsi="宋体"/>
          <w:spacing w:val="-23"/>
          <w:sz w:val="28"/>
        </w:rPr>
        <w:t>重点阐述：</w:t>
      </w:r>
      <w:r>
        <w:rPr>
          <w:rFonts w:hint="eastAsia" w:ascii="宋体"/>
          <w:spacing w:val="-23"/>
          <w:sz w:val="28"/>
        </w:rPr>
        <w:t>①</w:t>
      </w:r>
      <w:r>
        <w:rPr>
          <w:rFonts w:hint="eastAsia" w:ascii="宋体" w:hAnsi="宋体"/>
          <w:spacing w:val="-23"/>
          <w:sz w:val="28"/>
        </w:rPr>
        <w:t>对于学术型人才培养，学校要阐述推动优质课程资源开发建设和开放共享情况，包括教材、课程资源库、案例库以及网络资源、学科与科研资源等辅助教学资源建设等；对于应用型人才培养，要阐述结合行业企业实际，健全资源共享机制，建设课程资源库、真实项目案例库，推动将行业企业优质资源转化为教育教学内容情况。</w:t>
      </w:r>
    </w:p>
    <w:p>
      <w:pPr>
        <w:tabs>
          <w:tab w:val="left" w:pos="1004"/>
        </w:tabs>
        <w:spacing w:line="360" w:lineRule="auto"/>
        <w:ind w:firstLine="468"/>
        <w:rPr>
          <w:rFonts w:ascii="宋体"/>
          <w:spacing w:val="-23"/>
          <w:sz w:val="28"/>
        </w:rPr>
      </w:pPr>
      <w:r>
        <w:rPr>
          <w:rFonts w:hint="eastAsia" w:ascii="宋体"/>
          <w:spacing w:val="-23"/>
          <w:sz w:val="28"/>
        </w:rPr>
        <w:t>②</w:t>
      </w:r>
      <w:r>
        <w:rPr>
          <w:rFonts w:hint="eastAsia" w:ascii="宋体" w:hAnsi="宋体"/>
          <w:spacing w:val="-23"/>
          <w:sz w:val="28"/>
        </w:rPr>
        <w:t>学校教材建设情况；对于学术型人才培养，要阐述如何鼓励和支持高水平教师面向国家、行业领域需求，编写高水平教材；对于应用型人才培养，要阐述如何组织教师面向行业企业实际，结合产业发展需要编写教材，增强教材的针对性和实效性。</w:t>
      </w:r>
      <w:r>
        <w:rPr>
          <w:rFonts w:hint="eastAsia" w:ascii="宋体"/>
          <w:spacing w:val="-23"/>
          <w:sz w:val="28"/>
        </w:rPr>
        <w:t>③</w:t>
      </w:r>
      <w:r>
        <w:rPr>
          <w:rFonts w:hint="eastAsia" w:ascii="宋体" w:hAnsi="宋体"/>
          <w:spacing w:val="-23"/>
          <w:sz w:val="28"/>
        </w:rPr>
        <w:t>学校促进学生个性化学习、开放式学习和泛在学习，借助物联网技术、云计算技术和智能技术，建设适应</w:t>
      </w:r>
      <w:r>
        <w:rPr>
          <w:rFonts w:hint="eastAsia" w:ascii="宋体"/>
          <w:spacing w:val="-23"/>
          <w:sz w:val="28"/>
        </w:rPr>
        <w:t>“</w:t>
      </w:r>
      <w:r>
        <w:rPr>
          <w:rFonts w:hint="eastAsia" w:ascii="宋体" w:hAnsi="宋体"/>
          <w:spacing w:val="-23"/>
          <w:sz w:val="28"/>
        </w:rPr>
        <w:t>互联网</w:t>
      </w:r>
      <w:r>
        <w:rPr>
          <w:rFonts w:ascii="宋体" w:hAnsi="宋体"/>
          <w:spacing w:val="-23"/>
          <w:sz w:val="28"/>
        </w:rPr>
        <w:t>+</w:t>
      </w:r>
      <w:r>
        <w:rPr>
          <w:rFonts w:hint="eastAsia" w:ascii="宋体" w:hAnsi="宋体"/>
          <w:spacing w:val="-23"/>
          <w:sz w:val="28"/>
        </w:rPr>
        <w:t>”课程教学需要的智慧教室、智能实验室建设情况及其使用效果。</w:t>
      </w:r>
      <w:r>
        <w:rPr>
          <w:rFonts w:hint="eastAsia" w:ascii="宋体"/>
          <w:spacing w:val="-23"/>
          <w:sz w:val="28"/>
        </w:rPr>
        <w:t>④</w:t>
      </w:r>
      <w:r>
        <w:rPr>
          <w:rFonts w:hint="eastAsia" w:ascii="宋体" w:hAnsi="宋体"/>
          <w:spacing w:val="-23"/>
          <w:sz w:val="28"/>
        </w:rPr>
        <w:t>学校采取有效措施，积极开拓和有效利用各类教学资源情况；对于学术型人才培养，要阐述促进学科资源转化为教育教学资源情况，包括将最新科研成果融入教学内容，转化为实验项目；对于应用型人才培养，要阐述将产业技术发展成果转化为教学资源，将产学研合作项目转化为实验项目情况。</w:t>
      </w:r>
    </w:p>
    <w:p>
      <w:pPr>
        <w:tabs>
          <w:tab w:val="left" w:pos="1004"/>
        </w:tabs>
        <w:spacing w:line="360" w:lineRule="auto"/>
        <w:ind w:firstLine="468"/>
        <w:rPr>
          <w:rFonts w:ascii="宋体"/>
          <w:spacing w:val="-23"/>
          <w:sz w:val="28"/>
        </w:rPr>
      </w:pPr>
      <w:r>
        <w:rPr>
          <w:rFonts w:hint="eastAsia" w:ascii="宋体" w:hAnsi="宋体"/>
          <w:spacing w:val="-23"/>
          <w:sz w:val="28"/>
        </w:rPr>
        <w:t>支撑材料目录：列出能够证明上述自评结果的相关材料目录索引，包括学校教学资源建设与利用方面制订的制度文件、科研反哺教学方面的激励政策；学校</w:t>
      </w:r>
      <w:r>
        <w:rPr>
          <w:rFonts w:hint="eastAsia" w:ascii="宋体"/>
          <w:spacing w:val="-23"/>
          <w:sz w:val="28"/>
        </w:rPr>
        <w:t>“</w:t>
      </w:r>
      <w:r>
        <w:rPr>
          <w:rFonts w:hint="eastAsia" w:ascii="宋体" w:hAnsi="宋体"/>
          <w:spacing w:val="-23"/>
          <w:sz w:val="28"/>
        </w:rPr>
        <w:t>互联网</w:t>
      </w:r>
      <w:r>
        <w:rPr>
          <w:rFonts w:ascii="宋体" w:hAnsi="宋体"/>
          <w:spacing w:val="-23"/>
          <w:sz w:val="28"/>
        </w:rPr>
        <w:t>+</w:t>
      </w:r>
      <w:r>
        <w:rPr>
          <w:rFonts w:hint="eastAsia" w:ascii="宋体" w:hAnsi="宋体"/>
          <w:spacing w:val="-23"/>
          <w:sz w:val="28"/>
        </w:rPr>
        <w:t>”教学资源建设、高水平教材建设、智慧教室、智能实验室及学科资源、科研成果转化方面的总结材料。</w:t>
      </w:r>
    </w:p>
    <w:p>
      <w:pPr>
        <w:tabs>
          <w:tab w:val="left" w:pos="1105"/>
        </w:tabs>
        <w:spacing w:line="440" w:lineRule="exact"/>
        <w:ind w:firstLine="548" w:firstLineChars="200"/>
        <w:rPr>
          <w:sz w:val="28"/>
        </w:rPr>
      </w:pPr>
      <w:r>
        <w:rPr>
          <w:spacing w:val="-3"/>
          <w:sz w:val="28"/>
        </w:rPr>
        <w:t>3.3</w:t>
      </w:r>
      <w:r>
        <w:rPr>
          <w:rFonts w:hint="eastAsia"/>
          <w:spacing w:val="-3"/>
          <w:sz w:val="28"/>
        </w:rPr>
        <w:t>存在的问题、原因分析及下一步整改举措</w:t>
      </w:r>
    </w:p>
    <w:p>
      <w:pPr>
        <w:pStyle w:val="2"/>
        <w:spacing w:line="440" w:lineRule="exact"/>
        <w:ind w:firstLine="468" w:firstLineChars="200"/>
        <w:jc w:val="both"/>
      </w:pPr>
      <w:r>
        <w:rPr>
          <w:rFonts w:hint="eastAsia" w:ascii="宋体" w:hAnsi="宋体" w:eastAsia="宋体"/>
          <w:spacing w:val="-23"/>
          <w:sz w:val="28"/>
        </w:rPr>
        <w:t>重点阐述：学校在教学资源条件、资源建设与利用方面存在的主要问题是什么，问题表现是什么，产生问题的根源是什么，下一步如何改。</w:t>
      </w:r>
    </w:p>
    <w:p>
      <w:pPr>
        <w:tabs>
          <w:tab w:val="left" w:pos="1105"/>
        </w:tabs>
        <w:spacing w:line="440" w:lineRule="exact"/>
        <w:ind w:firstLine="640" w:firstLineChars="200"/>
        <w:rPr>
          <w:rFonts w:ascii="黑体" w:hAnsi="黑体" w:eastAsia="黑体"/>
          <w:sz w:val="32"/>
          <w:szCs w:val="32"/>
        </w:rPr>
      </w:pPr>
      <w:r>
        <w:rPr>
          <w:rFonts w:ascii="黑体" w:hAnsi="黑体" w:eastAsia="黑体"/>
          <w:sz w:val="32"/>
          <w:szCs w:val="32"/>
        </w:rPr>
        <w:t>4.</w:t>
      </w:r>
      <w:r>
        <w:rPr>
          <w:rFonts w:hint="eastAsia" w:ascii="黑体" w:hAnsi="黑体" w:eastAsia="黑体"/>
          <w:sz w:val="32"/>
          <w:szCs w:val="32"/>
        </w:rPr>
        <w:t>教师队伍</w:t>
      </w:r>
    </w:p>
    <w:p>
      <w:pPr>
        <w:tabs>
          <w:tab w:val="left" w:pos="1105"/>
        </w:tabs>
        <w:spacing w:line="440" w:lineRule="exact"/>
        <w:ind w:firstLine="640" w:firstLineChars="200"/>
        <w:rPr>
          <w:rFonts w:ascii="黑体" w:hAnsi="黑体" w:eastAsia="黑体"/>
          <w:sz w:val="32"/>
          <w:szCs w:val="32"/>
        </w:rPr>
      </w:pPr>
      <w:r>
        <w:rPr>
          <w:rFonts w:ascii="黑体" w:hAnsi="黑体" w:eastAsia="黑体"/>
          <w:sz w:val="32"/>
          <w:szCs w:val="32"/>
        </w:rPr>
        <w:t>4.1</w:t>
      </w:r>
      <w:r>
        <w:rPr>
          <w:rFonts w:hint="eastAsia" w:ascii="黑体" w:hAnsi="黑体" w:eastAsia="黑体"/>
          <w:sz w:val="32"/>
          <w:szCs w:val="32"/>
        </w:rPr>
        <w:t>师德师风</w:t>
      </w:r>
    </w:p>
    <w:p>
      <w:pPr>
        <w:pStyle w:val="2"/>
        <w:spacing w:line="440" w:lineRule="exact"/>
        <w:ind w:firstLine="468" w:firstLineChars="200"/>
        <w:jc w:val="both"/>
        <w:rPr>
          <w:rFonts w:ascii="宋体" w:hAnsi="宋体" w:eastAsia="宋体"/>
          <w:spacing w:val="-23"/>
          <w:sz w:val="28"/>
        </w:rPr>
      </w:pPr>
      <w:r>
        <w:rPr>
          <w:rFonts w:hint="eastAsia" w:ascii="宋体" w:hAnsi="宋体" w:eastAsia="宋体"/>
          <w:spacing w:val="-23"/>
          <w:sz w:val="28"/>
        </w:rPr>
        <w:t>重点阐述：①学校教师评价标准的建设情况；师德师风要求体现在学校政策文件中情况，特别是把师德师风作为评价教师第一标准的情况；学校将师德考核标准贯穿于教育教学全过程的措施与成效。②学校促进教师争做“四有”好老师、四个“引路人”，自觉遵守《新时代高校教师职业行为十项准则》等方面的制度、举措与成效。</w:t>
      </w:r>
    </w:p>
    <w:p>
      <w:pPr>
        <w:pStyle w:val="2"/>
        <w:spacing w:line="440" w:lineRule="exact"/>
        <w:ind w:firstLine="468" w:firstLineChars="200"/>
        <w:jc w:val="both"/>
        <w:rPr>
          <w:rFonts w:ascii="宋体" w:hAnsi="宋体" w:eastAsia="宋体"/>
          <w:spacing w:val="-23"/>
          <w:sz w:val="28"/>
        </w:rPr>
      </w:pPr>
      <w:r>
        <w:rPr>
          <w:rFonts w:hint="eastAsia" w:ascii="宋体" w:hAnsi="宋体" w:eastAsia="宋体"/>
          <w:spacing w:val="-23"/>
          <w:sz w:val="28"/>
        </w:rPr>
        <w:t>支撑材料目录：列出能够证明上述自评结果的相关材料目录索引，包括学校师德师风建设制度文件汇编；学校师德师风先进典型案例；学校加强师德师风建设宣传材料。</w:t>
      </w:r>
    </w:p>
    <w:p>
      <w:pPr>
        <w:tabs>
          <w:tab w:val="left" w:pos="1035"/>
        </w:tabs>
        <w:spacing w:line="440" w:lineRule="exact"/>
        <w:ind w:firstLine="560" w:firstLineChars="200"/>
        <w:rPr>
          <w:rFonts w:ascii="黑体" w:hAnsi="黑体" w:eastAsia="黑体"/>
          <w:sz w:val="28"/>
        </w:rPr>
      </w:pPr>
      <w:r>
        <w:rPr>
          <w:rFonts w:ascii="黑体" w:hAnsi="黑体" w:eastAsia="黑体"/>
          <w:sz w:val="28"/>
        </w:rPr>
        <w:t>4.2</w:t>
      </w:r>
      <w:r>
        <w:rPr>
          <w:rFonts w:hint="eastAsia" w:ascii="黑体" w:hAnsi="黑体" w:eastAsia="黑体"/>
          <w:sz w:val="28"/>
        </w:rPr>
        <w:t>教学能力</w:t>
      </w:r>
    </w:p>
    <w:p>
      <w:pPr>
        <w:pStyle w:val="2"/>
        <w:spacing w:line="440" w:lineRule="exact"/>
        <w:ind w:firstLine="468" w:firstLineChars="200"/>
        <w:jc w:val="both"/>
        <w:rPr>
          <w:rFonts w:ascii="宋体" w:hAnsi="宋体" w:eastAsia="宋体"/>
          <w:spacing w:val="-23"/>
          <w:sz w:val="28"/>
        </w:rPr>
      </w:pPr>
      <w:r>
        <w:rPr>
          <w:rFonts w:hint="eastAsia" w:ascii="宋体" w:hAnsi="宋体" w:eastAsia="宋体"/>
          <w:spacing w:val="-23"/>
          <w:sz w:val="28"/>
        </w:rPr>
        <w:t>重点阐述：①学校专任教师队伍的专业水平和教学能力，说明能否很好地胜任教育教学工作；对于学术型人才培养，还要阐述教师的科研能力和水平，以及满足学生创新意识和创新能力培养需要情况；对于应用型人才培养，还要阐述教师的产学研用能力和水平，以及满足学生实践动手能力培养需要情况。②学校提升教师教书育人能力和水平的举措及成效，包括教师培训，建立基层教学组织，开展教育教学研究活动等。</w:t>
      </w:r>
    </w:p>
    <w:p>
      <w:pPr>
        <w:pStyle w:val="2"/>
        <w:spacing w:line="440" w:lineRule="exact"/>
        <w:ind w:firstLine="468" w:firstLineChars="200"/>
        <w:jc w:val="both"/>
      </w:pPr>
      <w:r>
        <w:rPr>
          <w:rFonts w:hint="eastAsia" w:ascii="宋体" w:hAnsi="宋体" w:eastAsia="宋体"/>
          <w:spacing w:val="-23"/>
          <w:sz w:val="28"/>
        </w:rPr>
        <w:t>支撑材料目录：列出能够证明上述自评结果的相关材料目录索引，包括学校制订的提升教师教学能力方面的制度文件；学校开展各类教师教育教学培训、教学竞赛活动等。</w:t>
      </w:r>
    </w:p>
    <w:p>
      <w:pPr>
        <w:tabs>
          <w:tab w:val="left" w:pos="1035"/>
        </w:tabs>
        <w:spacing w:line="440" w:lineRule="exact"/>
        <w:ind w:firstLine="560" w:firstLineChars="200"/>
      </w:pPr>
      <w:r>
        <w:rPr>
          <w:rFonts w:ascii="黑体" w:hAnsi="黑体" w:eastAsia="黑体"/>
          <w:sz w:val="28"/>
        </w:rPr>
        <w:t>4.3</w:t>
      </w:r>
      <w:r>
        <w:rPr>
          <w:rFonts w:hint="eastAsia" w:ascii="黑体" w:hAnsi="黑体" w:eastAsia="黑体"/>
          <w:sz w:val="28"/>
        </w:rPr>
        <w:t>教学投入</w:t>
      </w:r>
    </w:p>
    <w:p>
      <w:pPr>
        <w:pStyle w:val="2"/>
        <w:spacing w:line="440" w:lineRule="exact"/>
        <w:ind w:firstLine="468" w:firstLineChars="200"/>
        <w:jc w:val="both"/>
        <w:rPr>
          <w:rFonts w:ascii="宋体" w:hAnsi="宋体" w:eastAsia="宋体"/>
          <w:spacing w:val="-23"/>
          <w:sz w:val="28"/>
        </w:rPr>
      </w:pPr>
      <w:r>
        <w:rPr>
          <w:rFonts w:hint="eastAsia" w:ascii="宋体" w:hAnsi="宋体" w:eastAsia="宋体"/>
          <w:spacing w:val="-23"/>
          <w:sz w:val="28"/>
        </w:rPr>
        <w:t>重点阐述：①学校在推动高水平教师投入本科教育教学、推动教授给本科生上课方面所采取的激励与约束机制；学校制定的激励与约束机制实施效果。②广大教师，特别是教授、副教授开展教学研究、参与教学改革与建设，包括教学改革、专业建设、课程建设和教材建设等实际情况。③学校可通过必选定量指标达标情况、自选定量指标及常模数据比较情况，阐述学校的优势与成绩、做法与经验。</w:t>
      </w:r>
    </w:p>
    <w:p>
      <w:pPr>
        <w:pStyle w:val="2"/>
        <w:spacing w:line="440" w:lineRule="exact"/>
        <w:ind w:firstLine="468" w:firstLineChars="200"/>
        <w:jc w:val="both"/>
        <w:rPr>
          <w:rFonts w:ascii="宋体" w:hAnsi="宋体" w:eastAsia="宋体"/>
          <w:spacing w:val="-23"/>
          <w:sz w:val="28"/>
        </w:rPr>
      </w:pPr>
      <w:r>
        <w:rPr>
          <w:rFonts w:hint="eastAsia" w:ascii="宋体" w:hAnsi="宋体" w:eastAsia="宋体"/>
          <w:spacing w:val="-23"/>
          <w:sz w:val="28"/>
        </w:rPr>
        <w:t>支撑材料目录：列出能够证明上述自评结果的相关材料目录索引，包括学校出台的鼓励教师投入教学的制度文件；学校教师近三年开展教学研究、教学改革方面的统计材料、原始申报材料等；学校教师主持省级及以上教学改革项目、课程建设项目，荣获省级及以上教学成果奖项，指导本科生学科竞赛或科创项目获得省级及以上奖项的教授和副教授人数占教授副教授总数的比例；教师科研经费中用于开展本科生学科竞赛和科创项目的金额占学校科研经费总额的比例。</w:t>
      </w:r>
    </w:p>
    <w:p>
      <w:pPr>
        <w:tabs>
          <w:tab w:val="left" w:pos="1035"/>
        </w:tabs>
        <w:spacing w:line="440" w:lineRule="exact"/>
        <w:ind w:firstLine="560" w:firstLineChars="200"/>
        <w:rPr>
          <w:rFonts w:ascii="黑体" w:hAnsi="黑体" w:eastAsia="黑体"/>
          <w:sz w:val="28"/>
        </w:rPr>
      </w:pPr>
      <w:r>
        <w:rPr>
          <w:rFonts w:ascii="黑体" w:hAnsi="黑体" w:eastAsia="黑体"/>
          <w:sz w:val="28"/>
        </w:rPr>
        <w:t>4.4</w:t>
      </w:r>
      <w:r>
        <w:rPr>
          <w:rFonts w:hint="eastAsia" w:ascii="黑体" w:hAnsi="黑体" w:eastAsia="黑体"/>
          <w:sz w:val="28"/>
        </w:rPr>
        <w:t>教师发展</w:t>
      </w:r>
    </w:p>
    <w:p>
      <w:pPr>
        <w:pStyle w:val="2"/>
        <w:spacing w:line="440" w:lineRule="exact"/>
        <w:ind w:firstLine="468" w:firstLineChars="200"/>
        <w:jc w:val="both"/>
        <w:rPr>
          <w:rFonts w:ascii="宋体" w:hAnsi="宋体" w:eastAsia="宋体"/>
          <w:spacing w:val="-23"/>
          <w:sz w:val="28"/>
        </w:rPr>
      </w:pPr>
      <w:r>
        <w:rPr>
          <w:rFonts w:hint="eastAsia" w:ascii="宋体" w:hAnsi="宋体" w:eastAsia="宋体"/>
          <w:spacing w:val="-23"/>
          <w:sz w:val="28"/>
        </w:rPr>
        <w:t>重点阐述：①学校制定教师培训与职业发展规划、培训工作计划及执行情况；是否按要求把习近平总书记关于教育的重要论述作为核心培训课程、把《习近平总书记教育重要论述讲义》作为核心培训教材？广大教师是否学深悟透，并能自觉运用；学校重视并加强思政与党务工作队伍建设所采取的举措与成效。②学校重视教师教学发展与培训，在加强教师教学发展中心、基层教学组织（或教学团队）和青年教师队伍建设等方面的措施与成效。③学校在提升教师教学能力、信息技术应用能力方面制定的政策、实施的措施及取得的成效；对于学术型人才培养，还要阐述如何培养教师的科研能力和实践能力；对于应用型人才培养，要阐述如何培养教师的产学研用能力。④学校教师分类管理和分类评价办法，分类分层次分学科设置的评价内容和评价方式；对于应用型人才培养，还要阐述双师双能型教师队伍和实践教学队伍建设与管理。⑤学校鼓励教师赴国（境）外交流、访学、参加国际会议、合作研究的政策、实施情况和效果。⑥学校可通过必选定量指标达标情况、自选定量指标及常模数据比较情况，阐述学校的优势与成绩、做法与经验。</w:t>
      </w:r>
    </w:p>
    <w:p>
      <w:pPr>
        <w:pStyle w:val="2"/>
        <w:spacing w:line="440" w:lineRule="exact"/>
        <w:ind w:firstLine="468" w:firstLineChars="200"/>
        <w:jc w:val="both"/>
        <w:rPr>
          <w:rFonts w:ascii="宋体" w:hAnsi="宋体" w:eastAsia="宋体"/>
          <w:spacing w:val="-23"/>
          <w:sz w:val="28"/>
        </w:rPr>
      </w:pPr>
      <w:r>
        <w:rPr>
          <w:rFonts w:hint="eastAsia" w:ascii="宋体" w:hAnsi="宋体" w:eastAsia="宋体"/>
          <w:spacing w:val="-23"/>
          <w:sz w:val="28"/>
        </w:rPr>
        <w:t>支撑材料目录：列出能够证明上述自评结果的相关材料目录索引，包括学校制订出台的加强师资队伍建设制度文件；学校教师队伍建设及发展规划；学校教师教学发展中心、基层教学组织设置情况及其培训本校教师的人时数（人数</w:t>
      </w:r>
      <w:r>
        <w:rPr>
          <w:rFonts w:ascii="宋体" w:hAnsi="宋体" w:eastAsia="宋体"/>
          <w:spacing w:val="-23"/>
          <w:sz w:val="28"/>
        </w:rPr>
        <w:t>x</w:t>
      </w:r>
      <w:r>
        <w:rPr>
          <w:rFonts w:hint="eastAsia" w:ascii="宋体" w:hAnsi="宋体" w:eastAsia="宋体"/>
          <w:spacing w:val="-23"/>
          <w:sz w:val="28"/>
        </w:rPr>
        <w:t>时间）占教师总数的比例；学校近三年教师赴国（境）外交流、访学、参加国际会议、合作研究情况等材料。</w:t>
      </w:r>
    </w:p>
    <w:p>
      <w:pPr>
        <w:tabs>
          <w:tab w:val="left" w:pos="1105"/>
        </w:tabs>
        <w:spacing w:line="440" w:lineRule="exact"/>
        <w:ind w:firstLine="548" w:firstLineChars="200"/>
        <w:rPr>
          <w:rFonts w:ascii="黑体" w:hAnsi="黑体" w:eastAsia="黑体"/>
          <w:sz w:val="28"/>
        </w:rPr>
      </w:pPr>
      <w:r>
        <w:rPr>
          <w:rFonts w:ascii="黑体" w:hAnsi="黑体" w:eastAsia="黑体"/>
          <w:spacing w:val="-3"/>
          <w:sz w:val="28"/>
        </w:rPr>
        <w:t>4.5</w:t>
      </w:r>
      <w:r>
        <w:rPr>
          <w:rFonts w:hint="eastAsia" w:ascii="黑体" w:hAnsi="黑体" w:eastAsia="黑体"/>
          <w:spacing w:val="-3"/>
          <w:sz w:val="28"/>
        </w:rPr>
        <w:t>存在的问题、原因分析及下一步整改举措</w:t>
      </w:r>
    </w:p>
    <w:p>
      <w:pPr>
        <w:spacing w:line="440" w:lineRule="exact"/>
        <w:ind w:firstLine="550" w:firstLineChars="200"/>
        <w:rPr>
          <w:sz w:val="28"/>
        </w:rPr>
      </w:pPr>
      <w:r>
        <w:rPr>
          <w:rFonts w:hint="eastAsia"/>
          <w:b/>
          <w:spacing w:val="-3"/>
          <w:sz w:val="28"/>
        </w:rPr>
        <w:t>重点阐述：认真对照国家对教师的要求，特别是</w:t>
      </w:r>
      <w:r>
        <w:rPr>
          <w:rFonts w:hint="eastAsia"/>
          <w:spacing w:val="-3"/>
          <w:sz w:val="28"/>
        </w:rPr>
        <w:t>中共中央国务</w:t>
      </w:r>
      <w:r>
        <w:rPr>
          <w:rFonts w:hint="eastAsia"/>
          <w:spacing w:val="-9"/>
          <w:sz w:val="28"/>
        </w:rPr>
        <w:t>院印发《深化新时代教育评价改革总体方案》、教育部等七部门《关</w:t>
      </w:r>
      <w:r>
        <w:rPr>
          <w:rFonts w:hint="eastAsia"/>
          <w:spacing w:val="-11"/>
          <w:sz w:val="28"/>
        </w:rPr>
        <w:t>于加强和改进新时代师德师风建设的意见》</w:t>
      </w:r>
      <w:r>
        <w:rPr>
          <w:rFonts w:hint="eastAsia"/>
          <w:sz w:val="28"/>
        </w:rPr>
        <w:t>（</w:t>
      </w:r>
      <w:r>
        <w:rPr>
          <w:rFonts w:hint="eastAsia"/>
          <w:spacing w:val="-4"/>
          <w:sz w:val="28"/>
        </w:rPr>
        <w:t>教师〔</w:t>
      </w:r>
      <w:r>
        <w:rPr>
          <w:sz w:val="28"/>
        </w:rPr>
        <w:t>2019</w:t>
      </w:r>
      <w:r>
        <w:rPr>
          <w:rFonts w:hint="eastAsia"/>
          <w:spacing w:val="-7"/>
          <w:sz w:val="28"/>
        </w:rPr>
        <w:t>〕</w:t>
      </w:r>
      <w:r>
        <w:rPr>
          <w:sz w:val="28"/>
        </w:rPr>
        <w:t>10</w:t>
      </w:r>
      <w:r>
        <w:rPr>
          <w:rFonts w:hint="eastAsia"/>
          <w:spacing w:val="-29"/>
          <w:sz w:val="28"/>
        </w:rPr>
        <w:t>号</w:t>
      </w:r>
      <w:r>
        <w:rPr>
          <w:rFonts w:hint="eastAsia"/>
          <w:spacing w:val="-5"/>
          <w:sz w:val="28"/>
        </w:rPr>
        <w:t>）</w:t>
      </w:r>
      <w:r>
        <w:rPr>
          <w:rFonts w:hint="eastAsia"/>
          <w:sz w:val="28"/>
        </w:rPr>
        <w:t>精神，以及通过必选定量指标达标情况、自选定量指标及常模数据比较情况，分析学校在教师队伍建设方面存在的主要问题是什么，问题表现是什么，产生问题的根源是什么，下一步如何改。</w:t>
      </w:r>
    </w:p>
    <w:p>
      <w:pPr>
        <w:spacing w:line="440" w:lineRule="exact"/>
        <w:ind w:firstLine="560" w:firstLineChars="200"/>
        <w:rPr>
          <w:rFonts w:ascii="黑体" w:hAnsi="黑体" w:eastAsia="黑体"/>
          <w:sz w:val="28"/>
          <w:szCs w:val="28"/>
        </w:rPr>
      </w:pPr>
      <w:r>
        <w:rPr>
          <w:rFonts w:ascii="黑体" w:hAnsi="黑体" w:eastAsia="黑体"/>
          <w:sz w:val="28"/>
          <w:szCs w:val="28"/>
        </w:rPr>
        <w:t>5.</w:t>
      </w:r>
      <w:r>
        <w:rPr>
          <w:rFonts w:hint="eastAsia" w:ascii="黑体" w:hAnsi="黑体" w:eastAsia="黑体"/>
          <w:sz w:val="28"/>
          <w:szCs w:val="28"/>
        </w:rPr>
        <w:t>学生发展</w:t>
      </w:r>
    </w:p>
    <w:p>
      <w:pPr>
        <w:tabs>
          <w:tab w:val="left" w:pos="1105"/>
        </w:tabs>
        <w:spacing w:line="440" w:lineRule="exact"/>
        <w:ind w:firstLine="640" w:firstLineChars="200"/>
        <w:rPr>
          <w:rFonts w:ascii="黑体" w:hAnsi="黑体" w:eastAsia="黑体"/>
          <w:sz w:val="32"/>
          <w:szCs w:val="32"/>
        </w:rPr>
      </w:pPr>
      <w:r>
        <w:rPr>
          <w:rFonts w:ascii="黑体" w:hAnsi="黑体" w:eastAsia="黑体"/>
          <w:sz w:val="32"/>
          <w:szCs w:val="32"/>
        </w:rPr>
        <w:t>5.1</w:t>
      </w:r>
      <w:r>
        <w:rPr>
          <w:rFonts w:hint="eastAsia" w:ascii="黑体" w:hAnsi="黑体" w:eastAsia="黑体"/>
          <w:sz w:val="32"/>
          <w:szCs w:val="32"/>
        </w:rPr>
        <w:t>理想信念</w:t>
      </w:r>
    </w:p>
    <w:p>
      <w:pPr>
        <w:pStyle w:val="2"/>
        <w:spacing w:line="440" w:lineRule="exact"/>
        <w:ind w:firstLine="518" w:firstLineChars="200"/>
        <w:jc w:val="both"/>
        <w:rPr>
          <w:rFonts w:ascii="宋体" w:hAnsi="宋体" w:eastAsia="宋体"/>
          <w:spacing w:val="-23"/>
          <w:sz w:val="28"/>
        </w:rPr>
      </w:pPr>
      <w:r>
        <w:rPr>
          <w:rFonts w:hint="eastAsia" w:eastAsia="宋体"/>
          <w:b/>
          <w:spacing w:val="-11"/>
          <w:sz w:val="28"/>
          <w:szCs w:val="28"/>
        </w:rPr>
        <w:t>重点阐述：</w:t>
      </w:r>
      <w:r>
        <w:rPr>
          <w:rFonts w:hint="eastAsia" w:ascii="宋体" w:hAnsi="宋体" w:eastAsia="宋体"/>
          <w:spacing w:val="-23"/>
          <w:sz w:val="28"/>
        </w:rPr>
        <w:t>①学校在加强学生理想信念和提高品德修养方面的举措及成效；广大学生的理想信念、道德品质和行为习惯情况。②学校深入学习贯彻习近平总书记在北京大学师生座谈会上的重要讲话精神，教育引导学生为国家发展，为追求真理而勤奋学习、奋发图强情况；学校加强学风建设的举措及成效。</w:t>
      </w:r>
    </w:p>
    <w:p>
      <w:pPr>
        <w:pStyle w:val="2"/>
        <w:spacing w:line="440" w:lineRule="exact"/>
        <w:ind w:firstLine="518" w:firstLineChars="200"/>
        <w:jc w:val="both"/>
      </w:pPr>
      <w:r>
        <w:rPr>
          <w:rFonts w:hint="eastAsia" w:eastAsia="宋体"/>
          <w:b/>
          <w:spacing w:val="-11"/>
          <w:sz w:val="28"/>
          <w:szCs w:val="28"/>
        </w:rPr>
        <w:t>支撑材料目录：</w:t>
      </w:r>
      <w:r>
        <w:rPr>
          <w:rFonts w:hint="eastAsia" w:ascii="宋体" w:hAnsi="宋体" w:eastAsia="宋体"/>
          <w:spacing w:val="-23"/>
          <w:sz w:val="28"/>
        </w:rPr>
        <w:t>列出能够证明上述自评结果的相关材料目录索引，包括学校制订的加强学风建设的制度文件；所开展的教育引导学生爱国、励志、求真、力行等活动有关材料等。</w:t>
      </w:r>
    </w:p>
    <w:p>
      <w:pPr>
        <w:tabs>
          <w:tab w:val="left" w:pos="1105"/>
        </w:tabs>
        <w:spacing w:line="440" w:lineRule="exact"/>
        <w:ind w:firstLine="640" w:firstLineChars="200"/>
        <w:rPr>
          <w:rFonts w:ascii="黑体" w:hAnsi="黑体" w:eastAsia="黑体"/>
          <w:sz w:val="32"/>
          <w:szCs w:val="32"/>
        </w:rPr>
      </w:pPr>
      <w:r>
        <w:rPr>
          <w:rFonts w:ascii="黑体" w:hAnsi="黑体" w:eastAsia="黑体"/>
          <w:sz w:val="32"/>
          <w:szCs w:val="32"/>
        </w:rPr>
        <w:t>5.2</w:t>
      </w:r>
      <w:r>
        <w:rPr>
          <w:rFonts w:hint="eastAsia" w:ascii="黑体" w:hAnsi="黑体" w:eastAsia="黑体"/>
          <w:sz w:val="32"/>
          <w:szCs w:val="32"/>
        </w:rPr>
        <w:t>学业成绩及综合素质</w:t>
      </w:r>
    </w:p>
    <w:p>
      <w:pPr>
        <w:tabs>
          <w:tab w:val="left" w:pos="1035"/>
        </w:tabs>
        <w:spacing w:line="440" w:lineRule="exact"/>
        <w:ind w:firstLine="518" w:firstLineChars="200"/>
        <w:rPr>
          <w:sz w:val="28"/>
          <w:szCs w:val="28"/>
        </w:rPr>
      </w:pPr>
      <w:r>
        <w:rPr>
          <w:rFonts w:hint="eastAsia"/>
          <w:b/>
          <w:spacing w:val="-11"/>
          <w:sz w:val="28"/>
          <w:szCs w:val="28"/>
        </w:rPr>
        <w:t>重点阐述：</w:t>
      </w:r>
      <w:r>
        <w:rPr>
          <w:rFonts w:hint="eastAsia"/>
          <w:spacing w:val="-9"/>
          <w:sz w:val="28"/>
          <w:szCs w:val="28"/>
        </w:rPr>
        <w:t>①学校如何重视学生的理论知识学习和综合能力培养，</w:t>
      </w:r>
      <w:r>
        <w:rPr>
          <w:rFonts w:hint="eastAsia"/>
          <w:spacing w:val="-8"/>
          <w:sz w:val="28"/>
          <w:szCs w:val="28"/>
        </w:rPr>
        <w:t>以及学生的学业成绩及综合素质表现情况；对于学术型人才培养，要</w:t>
      </w:r>
      <w:r>
        <w:rPr>
          <w:rFonts w:hint="eastAsia"/>
          <w:spacing w:val="-19"/>
          <w:sz w:val="28"/>
          <w:szCs w:val="28"/>
        </w:rPr>
        <w:t>阐述学生的基础理论、知识面和创新能力情况；对于应用型人才培养，</w:t>
      </w:r>
      <w:r>
        <w:rPr>
          <w:rFonts w:hint="eastAsia"/>
          <w:spacing w:val="-13"/>
          <w:sz w:val="28"/>
          <w:szCs w:val="28"/>
        </w:rPr>
        <w:t>要阐述学生综合应用知识能力、实践动手能力和独立解决生产、管理和服务中实际问题的能力情况。②学校贯彻落实教育部等四部门《关</w:t>
      </w:r>
      <w:r>
        <w:rPr>
          <w:rFonts w:hint="eastAsia"/>
          <w:spacing w:val="-16"/>
          <w:sz w:val="28"/>
          <w:szCs w:val="28"/>
        </w:rPr>
        <w:t>于进一步加强学校体育工作的若干意见》</w:t>
      </w:r>
      <w:r>
        <w:rPr>
          <w:rFonts w:hint="eastAsia"/>
          <w:sz w:val="28"/>
          <w:szCs w:val="28"/>
        </w:rPr>
        <w:t>（</w:t>
      </w:r>
      <w:r>
        <w:rPr>
          <w:sz w:val="28"/>
          <w:szCs w:val="28"/>
        </w:rPr>
        <w:t>2012</w:t>
      </w:r>
      <w:r>
        <w:rPr>
          <w:rFonts w:hint="eastAsia"/>
          <w:spacing w:val="-29"/>
          <w:sz w:val="28"/>
          <w:szCs w:val="28"/>
        </w:rPr>
        <w:t>年</w:t>
      </w:r>
      <w:r>
        <w:rPr>
          <w:sz w:val="28"/>
          <w:szCs w:val="28"/>
        </w:rPr>
        <w:t>10</w:t>
      </w:r>
      <w:r>
        <w:rPr>
          <w:rFonts w:hint="eastAsia"/>
          <w:spacing w:val="-28"/>
          <w:sz w:val="28"/>
          <w:szCs w:val="28"/>
        </w:rPr>
        <w:t>月</w:t>
      </w:r>
      <w:r>
        <w:rPr>
          <w:sz w:val="28"/>
          <w:szCs w:val="28"/>
        </w:rPr>
        <w:t>22</w:t>
      </w:r>
      <w:r>
        <w:rPr>
          <w:rFonts w:hint="eastAsia"/>
          <w:spacing w:val="-21"/>
          <w:sz w:val="28"/>
          <w:szCs w:val="28"/>
        </w:rPr>
        <w:t>日</w:t>
      </w:r>
      <w:r>
        <w:rPr>
          <w:rFonts w:hint="eastAsia"/>
          <w:spacing w:val="-140"/>
          <w:sz w:val="28"/>
          <w:szCs w:val="28"/>
        </w:rPr>
        <w:t>）</w:t>
      </w:r>
      <w:r>
        <w:rPr>
          <w:rFonts w:hint="eastAsia"/>
          <w:spacing w:val="-2"/>
          <w:sz w:val="28"/>
          <w:szCs w:val="28"/>
        </w:rPr>
        <w:t>、教育</w:t>
      </w:r>
      <w:r>
        <w:rPr>
          <w:rFonts w:hint="eastAsia"/>
          <w:spacing w:val="-13"/>
          <w:sz w:val="28"/>
          <w:szCs w:val="28"/>
        </w:rPr>
        <w:t>部《关于切实加强新时代高等学校美育工作的意见</w:t>
      </w:r>
      <w:r>
        <w:rPr>
          <w:rFonts w:hint="eastAsia"/>
          <w:spacing w:val="-264"/>
          <w:sz w:val="28"/>
          <w:szCs w:val="28"/>
        </w:rPr>
        <w:t>》</w:t>
      </w:r>
      <w:r>
        <w:rPr>
          <w:rFonts w:hint="eastAsia"/>
          <w:sz w:val="28"/>
          <w:szCs w:val="28"/>
        </w:rPr>
        <w:t>（</w:t>
      </w:r>
      <w:r>
        <w:rPr>
          <w:rFonts w:hint="eastAsia"/>
          <w:spacing w:val="-33"/>
          <w:sz w:val="28"/>
          <w:szCs w:val="28"/>
        </w:rPr>
        <w:t>教体艺〔</w:t>
      </w:r>
      <w:r>
        <w:rPr>
          <w:sz w:val="28"/>
          <w:szCs w:val="28"/>
        </w:rPr>
        <w:t>2019</w:t>
      </w:r>
      <w:r>
        <w:rPr>
          <w:rFonts w:hint="eastAsia"/>
          <w:sz w:val="28"/>
          <w:szCs w:val="28"/>
        </w:rPr>
        <w:t>〕</w:t>
      </w:r>
      <w:r>
        <w:rPr>
          <w:sz w:val="28"/>
          <w:szCs w:val="28"/>
        </w:rPr>
        <w:t>2</w:t>
      </w:r>
      <w:r>
        <w:rPr>
          <w:rFonts w:hint="eastAsia"/>
          <w:sz w:val="28"/>
          <w:szCs w:val="28"/>
        </w:rPr>
        <w:t>号</w:t>
      </w:r>
      <w:r>
        <w:rPr>
          <w:rFonts w:hint="eastAsia"/>
          <w:spacing w:val="-13"/>
          <w:sz w:val="28"/>
          <w:szCs w:val="28"/>
        </w:rPr>
        <w:t>）</w:t>
      </w:r>
      <w:r>
        <w:rPr>
          <w:rFonts w:hint="eastAsia"/>
          <w:spacing w:val="-5"/>
          <w:sz w:val="28"/>
          <w:szCs w:val="28"/>
        </w:rPr>
        <w:t>和中共中央国务院《关于全面加强新时代大中小学劳动教育的</w:t>
      </w:r>
      <w:r>
        <w:rPr>
          <w:rFonts w:hint="eastAsia"/>
          <w:spacing w:val="-48"/>
          <w:sz w:val="28"/>
          <w:szCs w:val="28"/>
        </w:rPr>
        <w:t>意见》</w:t>
      </w:r>
      <w:r>
        <w:rPr>
          <w:rFonts w:hint="eastAsia"/>
          <w:sz w:val="28"/>
          <w:szCs w:val="28"/>
        </w:rPr>
        <w:t>（</w:t>
      </w:r>
      <w:r>
        <w:rPr>
          <w:sz w:val="28"/>
          <w:szCs w:val="28"/>
        </w:rPr>
        <w:t>2020</w:t>
      </w:r>
      <w:r>
        <w:rPr>
          <w:rFonts w:hint="eastAsia"/>
          <w:spacing w:val="-31"/>
          <w:sz w:val="28"/>
          <w:szCs w:val="28"/>
        </w:rPr>
        <w:t>年</w:t>
      </w:r>
      <w:r>
        <w:rPr>
          <w:sz w:val="28"/>
          <w:szCs w:val="28"/>
        </w:rPr>
        <w:t>3</w:t>
      </w:r>
      <w:r>
        <w:rPr>
          <w:rFonts w:hint="eastAsia"/>
          <w:spacing w:val="-30"/>
          <w:sz w:val="28"/>
          <w:szCs w:val="28"/>
        </w:rPr>
        <w:t>月</w:t>
      </w:r>
      <w:r>
        <w:rPr>
          <w:sz w:val="28"/>
          <w:szCs w:val="28"/>
        </w:rPr>
        <w:t>20</w:t>
      </w:r>
      <w:r>
        <w:rPr>
          <w:rFonts w:hint="eastAsia"/>
          <w:spacing w:val="-23"/>
          <w:sz w:val="28"/>
          <w:szCs w:val="28"/>
        </w:rPr>
        <w:t>日</w:t>
      </w:r>
      <w:r>
        <w:rPr>
          <w:rFonts w:hint="eastAsia"/>
          <w:sz w:val="28"/>
          <w:szCs w:val="28"/>
        </w:rPr>
        <w:t>）</w:t>
      </w:r>
      <w:r>
        <w:rPr>
          <w:rFonts w:hint="eastAsia"/>
          <w:spacing w:val="-3"/>
          <w:sz w:val="28"/>
          <w:szCs w:val="28"/>
        </w:rPr>
        <w:t>精神，推进体育、美育、劳动教育教学</w:t>
      </w:r>
      <w:r>
        <w:rPr>
          <w:rFonts w:hint="eastAsia"/>
          <w:spacing w:val="-11"/>
          <w:sz w:val="28"/>
          <w:szCs w:val="28"/>
        </w:rPr>
        <w:t>改革的措施及其取得的成效。③学校为培养学生综合素质所开展的社团活动、校园环境和校园文化建设、社会实践、志愿服务活动等情况</w:t>
      </w:r>
      <w:r>
        <w:rPr>
          <w:rFonts w:hint="eastAsia"/>
          <w:spacing w:val="-12"/>
          <w:sz w:val="28"/>
          <w:szCs w:val="28"/>
        </w:rPr>
        <w:t>以及所取得的效果。④学校可通过必选定量指标达标情况、自选定量指标及常模数据比较情况，阐述学校的优势与成绩、做法与经验。</w:t>
      </w:r>
    </w:p>
    <w:p>
      <w:pPr>
        <w:tabs>
          <w:tab w:val="left" w:pos="1035"/>
        </w:tabs>
        <w:ind w:firstLine="516"/>
        <w:rPr>
          <w:sz w:val="28"/>
          <w:szCs w:val="28"/>
        </w:rPr>
      </w:pPr>
      <w:r>
        <w:rPr>
          <w:rFonts w:hint="eastAsia"/>
          <w:b/>
          <w:bCs/>
          <w:sz w:val="28"/>
          <w:szCs w:val="28"/>
        </w:rPr>
        <w:t>支撑材料目录：</w:t>
      </w:r>
      <w:r>
        <w:rPr>
          <w:rFonts w:hint="eastAsia"/>
          <w:sz w:val="28"/>
          <w:szCs w:val="28"/>
        </w:rPr>
        <w:t>列出能够证明上述自评结果的相关材料目录索引，包括学校加强学生综合素质培养方面的有关文件；学生发表的论文、获批的专利情况统计表；学生参加社团活动、校园文化、社会实践、志愿服务等活动资料；本科生体质测试合格率。</w:t>
      </w:r>
    </w:p>
    <w:p>
      <w:pPr>
        <w:tabs>
          <w:tab w:val="left" w:pos="1105"/>
        </w:tabs>
        <w:spacing w:line="440" w:lineRule="exact"/>
        <w:ind w:firstLine="640" w:firstLineChars="200"/>
        <w:rPr>
          <w:b/>
          <w:sz w:val="28"/>
        </w:rPr>
      </w:pPr>
      <w:r>
        <w:rPr>
          <w:rFonts w:ascii="黑体" w:hAnsi="黑体" w:eastAsia="黑体"/>
          <w:sz w:val="32"/>
          <w:szCs w:val="32"/>
        </w:rPr>
        <w:t>5.3</w:t>
      </w:r>
      <w:r>
        <w:rPr>
          <w:rFonts w:hint="eastAsia" w:ascii="黑体" w:hAnsi="黑体" w:eastAsia="黑体"/>
          <w:sz w:val="32"/>
          <w:szCs w:val="32"/>
        </w:rPr>
        <w:t>国际视野</w:t>
      </w:r>
      <w:r>
        <w:rPr>
          <w:rFonts w:ascii="黑体" w:hAnsi="黑体" w:eastAsia="黑体"/>
          <w:sz w:val="32"/>
          <w:szCs w:val="32"/>
        </w:rPr>
        <w:t>*</w:t>
      </w:r>
      <w:r>
        <w:rPr>
          <w:rFonts w:hint="eastAsia"/>
          <w:b/>
          <w:sz w:val="28"/>
        </w:rPr>
        <w:t>（</w:t>
      </w:r>
      <w:r>
        <w:rPr>
          <w:rFonts w:hint="eastAsia"/>
          <w:b/>
          <w:spacing w:val="-3"/>
          <w:sz w:val="28"/>
        </w:rPr>
        <w:t>学校自选要素</w:t>
      </w:r>
      <w:r>
        <w:rPr>
          <w:rFonts w:hint="eastAsia"/>
          <w:b/>
          <w:sz w:val="28"/>
        </w:rPr>
        <w:t>）</w:t>
      </w:r>
    </w:p>
    <w:p>
      <w:pPr>
        <w:tabs>
          <w:tab w:val="left" w:pos="1035"/>
        </w:tabs>
        <w:ind w:firstLine="516"/>
        <w:rPr>
          <w:sz w:val="28"/>
          <w:szCs w:val="28"/>
        </w:rPr>
      </w:pPr>
      <w:r>
        <w:rPr>
          <w:rFonts w:hint="eastAsia"/>
          <w:sz w:val="28"/>
          <w:szCs w:val="28"/>
        </w:rPr>
        <w:t>重点阐述：①学校主动服务国家对外开放战略，积极融入</w:t>
      </w:r>
      <w:r>
        <w:rPr>
          <w:sz w:val="28"/>
          <w:szCs w:val="28"/>
        </w:rPr>
        <w:t>“</w:t>
      </w:r>
      <w:r>
        <w:rPr>
          <w:rFonts w:hint="eastAsia"/>
          <w:sz w:val="28"/>
          <w:szCs w:val="28"/>
        </w:rPr>
        <w:t>一带一路</w:t>
      </w:r>
      <w:r>
        <w:rPr>
          <w:sz w:val="28"/>
          <w:szCs w:val="28"/>
        </w:rPr>
        <w:t>”</w:t>
      </w:r>
      <w:r>
        <w:rPr>
          <w:rFonts w:hint="eastAsia"/>
          <w:sz w:val="28"/>
          <w:szCs w:val="28"/>
        </w:rPr>
        <w:t>建设，推动国际交流与合作，与国外（境外）高水平大学开展联合办学、联合培养等具体做法、采取的举措与取得的成效；学校吸引外国留学生来华学习的举措及来华留学生教育质量情况。②学校将国际先进教育理念贯彻落实到人才培养过程中的情况；吸收利用国外（境外）优质教育资源（教材、网络课程、专业设计软件等）以及输出共享情况。③学校鼓励学生赴国（境）外高校交流、访学，实习、竞赛、参加国际会议、开展合作研究的激励政策及提供的国（境）外跨校和跨文化学习交流的机会，以及实施的实际效果。④学校可通过必选定量指标达标情况、自选定量指标及常模数据比较情况，阐述学校的优势与成绩、做法与经验。</w:t>
      </w:r>
    </w:p>
    <w:p>
      <w:pPr>
        <w:tabs>
          <w:tab w:val="left" w:pos="1035"/>
        </w:tabs>
        <w:ind w:firstLine="516"/>
        <w:rPr>
          <w:sz w:val="28"/>
          <w:szCs w:val="28"/>
        </w:rPr>
      </w:pPr>
      <w:r>
        <w:rPr>
          <w:rFonts w:hint="eastAsia"/>
          <w:sz w:val="28"/>
          <w:szCs w:val="28"/>
        </w:rPr>
        <w:t>支撑材料目录：列出能够证明上述自评结果的相关材料目录索引，包括学校国际化发展战略规划或相关文件；学校激励教师、本科生开展国际合作交流方面的政策等。</w:t>
      </w:r>
    </w:p>
    <w:p>
      <w:pPr>
        <w:tabs>
          <w:tab w:val="left" w:pos="1105"/>
        </w:tabs>
        <w:spacing w:line="440" w:lineRule="exact"/>
        <w:ind w:firstLine="640" w:firstLineChars="200"/>
        <w:rPr>
          <w:rFonts w:ascii="黑体" w:hAnsi="黑体" w:eastAsia="黑体"/>
          <w:sz w:val="32"/>
          <w:szCs w:val="32"/>
        </w:rPr>
      </w:pPr>
      <w:r>
        <w:rPr>
          <w:rFonts w:ascii="黑体" w:hAnsi="黑体" w:eastAsia="黑体"/>
          <w:sz w:val="32"/>
          <w:szCs w:val="32"/>
        </w:rPr>
        <w:t>5.4</w:t>
      </w:r>
      <w:r>
        <w:rPr>
          <w:rFonts w:hint="eastAsia" w:ascii="黑体" w:hAnsi="黑体" w:eastAsia="黑体"/>
          <w:sz w:val="32"/>
          <w:szCs w:val="32"/>
        </w:rPr>
        <w:t>支持服务</w:t>
      </w:r>
    </w:p>
    <w:p>
      <w:pPr>
        <w:tabs>
          <w:tab w:val="left" w:pos="1035"/>
        </w:tabs>
        <w:ind w:firstLine="516"/>
        <w:rPr>
          <w:sz w:val="28"/>
          <w:szCs w:val="28"/>
        </w:rPr>
      </w:pPr>
      <w:r>
        <w:rPr>
          <w:rFonts w:hint="eastAsia"/>
          <w:sz w:val="28"/>
          <w:szCs w:val="28"/>
        </w:rPr>
        <w:t>重点阐述：①学校贯彻落实《中共教育部党组关于加强和改进高校领导干部深入基层联系学生工作的通知》（教党函〔</w:t>
      </w:r>
      <w:r>
        <w:rPr>
          <w:sz w:val="28"/>
          <w:szCs w:val="28"/>
        </w:rPr>
        <w:t>2019</w:t>
      </w:r>
      <w:r>
        <w:rPr>
          <w:rFonts w:hint="eastAsia"/>
          <w:sz w:val="28"/>
          <w:szCs w:val="28"/>
        </w:rPr>
        <w:t>〕</w:t>
      </w:r>
      <w:r>
        <w:rPr>
          <w:sz w:val="28"/>
          <w:szCs w:val="28"/>
        </w:rPr>
        <w:t>34</w:t>
      </w:r>
      <w:r>
        <w:rPr>
          <w:rFonts w:hint="eastAsia"/>
          <w:sz w:val="28"/>
          <w:szCs w:val="28"/>
        </w:rPr>
        <w:t>号）要求，推动领导干部和教师参与学生工作的举措及效果，包括参与面、参与程度和参与效果。②学校的学生指导服务体系及场地设施建立情况，包括配备专门教师和校医，提供必须的场地、必要的设备和条件等；学业指导、职业生涯规划指导、就业指导和大学生健康心理咨询的开展情况；对家庭经济困难学生的资助情况等。③学校推进学分制改革和弹性学习的具体措施和相适应的管理制度；开展辅修专业、双学士学位专业学习情况及其学生受益面等。④可选择阐述学校探索学生成长增值评价，不仅关注学生学习过程的最后产出，更看重学习过程所带来的增长情况；本科生导师制的开展情况；学校注重学生学习体验，培养学生自我发展能力和职业发展能力的具体措施与实施成效。⑤学校可通过必选定量指标达标情况、自选定量指标及常模数据比较情况，阐述学校的优势与成绩、做法与经验。</w:t>
      </w:r>
    </w:p>
    <w:p>
      <w:pPr>
        <w:tabs>
          <w:tab w:val="left" w:pos="1035"/>
        </w:tabs>
        <w:ind w:firstLine="516"/>
        <w:rPr>
          <w:sz w:val="28"/>
          <w:szCs w:val="28"/>
        </w:rPr>
      </w:pPr>
      <w:r>
        <w:rPr>
          <w:rFonts w:hint="eastAsia"/>
          <w:sz w:val="28"/>
          <w:szCs w:val="28"/>
        </w:rPr>
        <w:t>支撑材料目录：列出能够证明上述自评结果的相关材料目录索引，包括学校制订的学生发展支持服务方面的制度文件；学分制改革和弹性学习、辅修专业、双学士学位专业学习的制度文件；开展学生成长增值评价、学习体验等的相关材料；本科生导师制的开展情况。</w:t>
      </w:r>
    </w:p>
    <w:p>
      <w:pPr>
        <w:tabs>
          <w:tab w:val="left" w:pos="1105"/>
        </w:tabs>
        <w:spacing w:line="440" w:lineRule="exact"/>
        <w:ind w:firstLine="640" w:firstLineChars="200"/>
        <w:rPr>
          <w:rFonts w:ascii="黑体" w:hAnsi="黑体" w:eastAsia="黑体"/>
          <w:sz w:val="32"/>
          <w:szCs w:val="32"/>
        </w:rPr>
      </w:pPr>
      <w:r>
        <w:rPr>
          <w:rFonts w:ascii="黑体" w:hAnsi="黑体" w:eastAsia="黑体"/>
          <w:sz w:val="32"/>
          <w:szCs w:val="32"/>
        </w:rPr>
        <w:t>5.5</w:t>
      </w:r>
      <w:r>
        <w:rPr>
          <w:rFonts w:hint="eastAsia" w:ascii="黑体" w:hAnsi="黑体" w:eastAsia="黑体"/>
          <w:sz w:val="32"/>
          <w:szCs w:val="32"/>
        </w:rPr>
        <w:t>存在的问题、原因分析及下一步整改举措</w:t>
      </w:r>
    </w:p>
    <w:p>
      <w:pPr>
        <w:tabs>
          <w:tab w:val="left" w:pos="1035"/>
        </w:tabs>
        <w:ind w:firstLine="516"/>
        <w:rPr>
          <w:sz w:val="28"/>
          <w:szCs w:val="28"/>
        </w:rPr>
      </w:pPr>
      <w:r>
        <w:rPr>
          <w:rFonts w:hint="eastAsia"/>
          <w:sz w:val="28"/>
          <w:szCs w:val="28"/>
        </w:rPr>
        <w:t>重点阐述：对照国家的各项要求，以及通过必选定量指标达标情况、自选定量指标及常模数据比较情况，分析学校在坚持以学生为中心，促进学生发展方面存在的主要问题是什么，问题表现是什么，产生问题的根源是什么，下一步如何改。</w:t>
      </w:r>
    </w:p>
    <w:p>
      <w:pPr>
        <w:tabs>
          <w:tab w:val="left" w:pos="1105"/>
        </w:tabs>
        <w:spacing w:line="440" w:lineRule="exact"/>
        <w:ind w:firstLine="640" w:firstLineChars="200"/>
        <w:rPr>
          <w:rFonts w:ascii="黑体" w:hAnsi="黑体" w:eastAsia="黑体"/>
          <w:sz w:val="32"/>
          <w:szCs w:val="32"/>
        </w:rPr>
      </w:pPr>
      <w:r>
        <w:rPr>
          <w:rFonts w:ascii="黑体" w:hAnsi="黑体" w:eastAsia="黑体"/>
          <w:sz w:val="32"/>
          <w:szCs w:val="32"/>
        </w:rPr>
        <w:t>6.</w:t>
      </w:r>
      <w:r>
        <w:rPr>
          <w:rFonts w:hint="eastAsia" w:ascii="黑体" w:hAnsi="黑体" w:eastAsia="黑体"/>
          <w:sz w:val="32"/>
          <w:szCs w:val="32"/>
        </w:rPr>
        <w:t>质量保障</w:t>
      </w:r>
    </w:p>
    <w:p>
      <w:pPr>
        <w:tabs>
          <w:tab w:val="left" w:pos="1105"/>
        </w:tabs>
        <w:spacing w:line="440" w:lineRule="exact"/>
        <w:ind w:firstLine="640" w:firstLineChars="200"/>
        <w:rPr>
          <w:rFonts w:ascii="黑体" w:hAnsi="黑体" w:eastAsia="黑体"/>
          <w:sz w:val="32"/>
          <w:szCs w:val="32"/>
        </w:rPr>
      </w:pPr>
      <w:r>
        <w:rPr>
          <w:rFonts w:ascii="黑体" w:hAnsi="黑体" w:eastAsia="黑体"/>
          <w:sz w:val="32"/>
          <w:szCs w:val="32"/>
        </w:rPr>
        <w:t>6.1</w:t>
      </w:r>
      <w:r>
        <w:rPr>
          <w:rFonts w:hint="eastAsia" w:ascii="黑体" w:hAnsi="黑体" w:eastAsia="黑体"/>
          <w:sz w:val="32"/>
          <w:szCs w:val="32"/>
        </w:rPr>
        <w:t>质量管理</w:t>
      </w:r>
    </w:p>
    <w:p>
      <w:pPr>
        <w:tabs>
          <w:tab w:val="left" w:pos="1035"/>
        </w:tabs>
        <w:ind w:firstLine="516"/>
        <w:rPr>
          <w:sz w:val="28"/>
          <w:szCs w:val="28"/>
        </w:rPr>
      </w:pPr>
      <w:r>
        <w:rPr>
          <w:rFonts w:hint="eastAsia"/>
          <w:sz w:val="28"/>
          <w:szCs w:val="28"/>
        </w:rPr>
        <w:t>重点阐述：①学校根据自身办学定位和人才培养目标，构建的各教学环节（课堂教学、实习、实验、毕业设计等）的质量标准情况；质量管理制度文件的制订及执行情况；学校质量保障机构设置及质量监控、督导队伍建设情况；专职质量监控部门和专职质量监控人员。②学校加强考风建设，出台的加强考试管理、严肃考试纪律的制度文件及执行情况；学校加强过程性考核与结果性考核有机结合，能力与知识考核并重的多元化学业考核评价体系情况；本科毕业论文（设计）抽检结果；对毕业设计（论文）选题、开题、答辩等环节的全过程管理，严把毕业出口关等情况。</w:t>
      </w:r>
    </w:p>
    <w:p>
      <w:pPr>
        <w:tabs>
          <w:tab w:val="left" w:pos="1035"/>
        </w:tabs>
        <w:ind w:firstLine="516"/>
        <w:rPr>
          <w:sz w:val="28"/>
          <w:szCs w:val="28"/>
        </w:rPr>
      </w:pPr>
      <w:r>
        <w:rPr>
          <w:rFonts w:hint="eastAsia"/>
          <w:sz w:val="28"/>
          <w:szCs w:val="28"/>
        </w:rPr>
        <w:t>支撑材料目录：列出能够证明上述自评结果的相关材料目录索引，包括学校制订的质量管理制度文件；学校质量标准体系文件；质量监控机构设置文件；学校严格考试管理、端正考纪考风方面的材料等。</w:t>
      </w:r>
    </w:p>
    <w:p>
      <w:pPr>
        <w:tabs>
          <w:tab w:val="left" w:pos="1035"/>
        </w:tabs>
        <w:spacing w:line="440" w:lineRule="exact"/>
        <w:ind w:firstLine="640" w:firstLineChars="200"/>
        <w:rPr>
          <w:rFonts w:ascii="黑体" w:hAnsi="黑体" w:eastAsia="黑体"/>
          <w:sz w:val="32"/>
          <w:szCs w:val="32"/>
        </w:rPr>
      </w:pPr>
      <w:r>
        <w:rPr>
          <w:rFonts w:ascii="黑体" w:hAnsi="黑体" w:eastAsia="黑体"/>
          <w:sz w:val="32"/>
          <w:szCs w:val="32"/>
        </w:rPr>
        <w:t>6.2</w:t>
      </w:r>
      <w:r>
        <w:rPr>
          <w:rFonts w:hint="eastAsia" w:ascii="黑体" w:hAnsi="黑体" w:eastAsia="黑体"/>
          <w:sz w:val="32"/>
          <w:szCs w:val="32"/>
        </w:rPr>
        <w:t>质量改进</w:t>
      </w:r>
    </w:p>
    <w:p>
      <w:pPr>
        <w:tabs>
          <w:tab w:val="left" w:pos="1035"/>
        </w:tabs>
        <w:ind w:firstLine="516"/>
        <w:rPr>
          <w:sz w:val="28"/>
          <w:szCs w:val="28"/>
        </w:rPr>
      </w:pPr>
      <w:r>
        <w:rPr>
          <w:rFonts w:hint="eastAsia"/>
          <w:sz w:val="28"/>
          <w:szCs w:val="28"/>
        </w:rPr>
        <w:t>重点阐述：①学校内部质量监测与评估机制建设及运行情况，包括定期开展的评教、评学以及二级学院教学工作评估、专业评估、课程评估等；学校参加教育行政部门、社会第三方组织的外部教学评估，包括院校评估和专业认证等情况。②学校建立的质量评价</w:t>
      </w:r>
      <w:r>
        <w:rPr>
          <w:sz w:val="28"/>
          <w:szCs w:val="28"/>
        </w:rPr>
        <w:t>-</w:t>
      </w:r>
      <w:r>
        <w:rPr>
          <w:rFonts w:hint="eastAsia"/>
          <w:sz w:val="28"/>
          <w:szCs w:val="28"/>
        </w:rPr>
        <w:t>反馈</w:t>
      </w:r>
      <w:r>
        <w:rPr>
          <w:sz w:val="28"/>
          <w:szCs w:val="28"/>
        </w:rPr>
        <w:t>-</w:t>
      </w:r>
      <w:r>
        <w:rPr>
          <w:rFonts w:hint="eastAsia"/>
          <w:sz w:val="28"/>
          <w:szCs w:val="28"/>
        </w:rPr>
        <w:t>持续改进机制及运行情况；学校对教学质量存在的问题进行分析并制定改进的措施及落实效果。学校建立的质量持续改进机制并持续运行情况；对内部、外部教学评估中存在的问题，制定纠正与改进方案和措施，配备资源，进行质量改进，并对纠正与改进措施的有效性适时进行评价情况；质量改进取得的成效。</w:t>
      </w:r>
    </w:p>
    <w:p>
      <w:pPr>
        <w:tabs>
          <w:tab w:val="left" w:pos="1035"/>
        </w:tabs>
        <w:ind w:firstLine="516"/>
        <w:rPr>
          <w:sz w:val="28"/>
          <w:szCs w:val="28"/>
        </w:rPr>
      </w:pPr>
      <w:r>
        <w:rPr>
          <w:rFonts w:hint="eastAsia"/>
          <w:sz w:val="28"/>
          <w:szCs w:val="28"/>
        </w:rPr>
        <w:t>支撑材料目录：列出能够证明上述自评结果的相关材料目录索引，包括学校制订的质量改进制度文件；学校开展自评估，包括评教、评学以及二级学院教学工作评估、专业评估、课程评估等相关资料；学校接受院校评估、第三方评估、专业认证等有关情况；质量改进及对纠正与改进措施的有效性评价的有关资料。</w:t>
      </w:r>
    </w:p>
    <w:p>
      <w:pPr>
        <w:tabs>
          <w:tab w:val="left" w:pos="1105"/>
        </w:tabs>
        <w:spacing w:line="440" w:lineRule="exact"/>
        <w:ind w:firstLine="640" w:firstLineChars="200"/>
        <w:rPr>
          <w:rFonts w:ascii="黑体" w:hAnsi="黑体" w:eastAsia="黑体"/>
          <w:sz w:val="32"/>
          <w:szCs w:val="32"/>
        </w:rPr>
      </w:pPr>
      <w:r>
        <w:rPr>
          <w:rFonts w:ascii="黑体" w:hAnsi="黑体" w:eastAsia="黑体"/>
          <w:sz w:val="32"/>
          <w:szCs w:val="32"/>
        </w:rPr>
        <w:t>6.3</w:t>
      </w:r>
      <w:r>
        <w:rPr>
          <w:rFonts w:hint="eastAsia" w:ascii="黑体" w:hAnsi="黑体" w:eastAsia="黑体"/>
          <w:sz w:val="32"/>
          <w:szCs w:val="32"/>
        </w:rPr>
        <w:t>质量文化</w:t>
      </w:r>
    </w:p>
    <w:p>
      <w:pPr>
        <w:tabs>
          <w:tab w:val="left" w:pos="1035"/>
        </w:tabs>
        <w:ind w:firstLine="516"/>
        <w:rPr>
          <w:sz w:val="28"/>
          <w:szCs w:val="28"/>
        </w:rPr>
      </w:pPr>
      <w:r>
        <w:rPr>
          <w:rFonts w:hint="eastAsia"/>
          <w:sz w:val="28"/>
          <w:szCs w:val="28"/>
        </w:rPr>
        <w:t>重点阐述：①学校加强自觉、自省、自律、自查、自纠的质量文化建设情况；将质量意识、质量标准、质量评价、质量管理等落实到教育教学各环节措施与取得的成效。②学校质量信息，包括招生情况、教师队伍与教学条件、学生就业情况等公开制度建立与执行情况；学校年度《本科教学质量报告》、《就业质量年度报告》发布以及信息内容的真实、准确、及时和全面性情况；培养目标、毕业要求、课程教学大纲公开的举措及面向学生宣贯的成效。</w:t>
      </w:r>
    </w:p>
    <w:p>
      <w:pPr>
        <w:tabs>
          <w:tab w:val="left" w:pos="1035"/>
        </w:tabs>
        <w:ind w:firstLine="516"/>
        <w:rPr>
          <w:sz w:val="28"/>
          <w:szCs w:val="28"/>
        </w:rPr>
      </w:pPr>
      <w:r>
        <w:rPr>
          <w:rFonts w:hint="eastAsia"/>
          <w:sz w:val="28"/>
          <w:szCs w:val="28"/>
        </w:rPr>
        <w:t>支撑材料目录：列出能够证明上述自评结果的相关材料目录索引，包括学校制订的加强质量文化建设的制度文件；学校近三年发布的</w:t>
      </w:r>
    </w:p>
    <w:p>
      <w:pPr>
        <w:tabs>
          <w:tab w:val="left" w:pos="1035"/>
        </w:tabs>
        <w:ind w:firstLine="516"/>
        <w:rPr>
          <w:sz w:val="28"/>
          <w:szCs w:val="28"/>
        </w:rPr>
      </w:pPr>
      <w:r>
        <w:rPr>
          <w:rFonts w:hint="eastAsia"/>
          <w:sz w:val="28"/>
          <w:szCs w:val="28"/>
        </w:rPr>
        <w:t>《本科教学质量报告》、《就业质量年度报告》；学校在质量文化建设方面的宣传、报道材料等；培养目标、毕业要求、课程教学大纲公开的载体、过程记录及体现宣贯成效的证明材料。</w:t>
      </w:r>
    </w:p>
    <w:p>
      <w:pPr>
        <w:tabs>
          <w:tab w:val="left" w:pos="1105"/>
        </w:tabs>
        <w:spacing w:line="440" w:lineRule="exact"/>
        <w:ind w:firstLine="640" w:firstLineChars="200"/>
        <w:rPr>
          <w:rFonts w:ascii="黑体" w:hAnsi="黑体" w:eastAsia="黑体"/>
          <w:sz w:val="32"/>
          <w:szCs w:val="32"/>
        </w:rPr>
      </w:pPr>
      <w:r>
        <w:rPr>
          <w:rFonts w:ascii="黑体" w:hAnsi="黑体" w:eastAsia="黑体"/>
          <w:sz w:val="32"/>
          <w:szCs w:val="32"/>
        </w:rPr>
        <w:t>6.4</w:t>
      </w:r>
      <w:r>
        <w:rPr>
          <w:rFonts w:hint="eastAsia" w:ascii="黑体" w:hAnsi="黑体" w:eastAsia="黑体"/>
          <w:sz w:val="32"/>
          <w:szCs w:val="32"/>
        </w:rPr>
        <w:t>存在的问题、原因分析及下一步整改举措</w:t>
      </w:r>
    </w:p>
    <w:p>
      <w:pPr>
        <w:tabs>
          <w:tab w:val="left" w:pos="1035"/>
        </w:tabs>
        <w:ind w:firstLine="516"/>
        <w:rPr>
          <w:sz w:val="28"/>
          <w:szCs w:val="28"/>
        </w:rPr>
      </w:pPr>
      <w:r>
        <w:rPr>
          <w:rFonts w:hint="eastAsia"/>
          <w:sz w:val="28"/>
          <w:szCs w:val="28"/>
        </w:rPr>
        <w:t>重点阐述：学校在质量保障体系建设与有效运行方面存在的主要问题是什么，问题表现是什么，产生问题的根源是什么，下一步如何改进。</w:t>
      </w:r>
    </w:p>
    <w:p>
      <w:pPr>
        <w:spacing w:line="440" w:lineRule="exact"/>
        <w:ind w:firstLine="640" w:firstLineChars="200"/>
        <w:rPr>
          <w:rFonts w:ascii="黑体" w:hAnsi="黑体" w:eastAsia="黑体"/>
          <w:sz w:val="32"/>
          <w:szCs w:val="32"/>
        </w:rPr>
      </w:pPr>
      <w:r>
        <w:rPr>
          <w:rFonts w:ascii="黑体" w:hAnsi="黑体" w:eastAsia="黑体"/>
          <w:sz w:val="32"/>
          <w:szCs w:val="32"/>
        </w:rPr>
        <w:t>7.</w:t>
      </w:r>
      <w:r>
        <w:rPr>
          <w:rFonts w:hint="eastAsia" w:ascii="黑体" w:hAnsi="黑体" w:eastAsia="黑体"/>
          <w:sz w:val="32"/>
          <w:szCs w:val="32"/>
        </w:rPr>
        <w:t>教学成效</w:t>
      </w:r>
    </w:p>
    <w:p>
      <w:pPr>
        <w:tabs>
          <w:tab w:val="left" w:pos="1035"/>
        </w:tabs>
        <w:spacing w:line="440" w:lineRule="exact"/>
        <w:ind w:firstLine="560" w:firstLineChars="200"/>
        <w:rPr>
          <w:sz w:val="28"/>
        </w:rPr>
      </w:pPr>
      <w:r>
        <w:rPr>
          <w:sz w:val="28"/>
        </w:rPr>
        <w:t xml:space="preserve">7.1 </w:t>
      </w:r>
      <w:r>
        <w:rPr>
          <w:rFonts w:hint="eastAsia"/>
          <w:sz w:val="28"/>
        </w:rPr>
        <w:t>达成度</w:t>
      </w:r>
    </w:p>
    <w:p>
      <w:pPr>
        <w:pStyle w:val="2"/>
        <w:spacing w:line="440" w:lineRule="exact"/>
        <w:ind w:firstLine="560" w:firstLineChars="200"/>
        <w:jc w:val="both"/>
      </w:pPr>
      <w:r>
        <w:rPr>
          <w:rFonts w:hint="eastAsia" w:eastAsia="宋体"/>
          <w:sz w:val="28"/>
          <w:szCs w:val="28"/>
        </w:rPr>
        <w:t>重点阐述：①学校专业人才培养目标的达成评价方法、评价重点以及评价的结论。②学校毕业生质量持续跟踪评价机制建立及实施情况；近三年毕业生质量持续跟踪评价结果。</w:t>
      </w:r>
    </w:p>
    <w:p>
      <w:pPr>
        <w:spacing w:line="440" w:lineRule="exact"/>
        <w:ind w:firstLine="502" w:firstLineChars="200"/>
        <w:rPr>
          <w:sz w:val="28"/>
        </w:rPr>
      </w:pPr>
      <w:r>
        <w:rPr>
          <w:rFonts w:hint="eastAsia"/>
          <w:b/>
          <w:spacing w:val="-15"/>
          <w:sz w:val="28"/>
        </w:rPr>
        <w:t>支撑材料目录：</w:t>
      </w:r>
      <w:r>
        <w:rPr>
          <w:rFonts w:hint="eastAsia"/>
          <w:spacing w:val="-3"/>
          <w:sz w:val="28"/>
        </w:rPr>
        <w:t>列出能够证明上述自评结果的相关材料目录索引，包括学校对毕业生质量持续跟踪评价的制度文件；对毕业生职业发展</w:t>
      </w:r>
      <w:r>
        <w:rPr>
          <w:rFonts w:hint="eastAsia"/>
          <w:b/>
          <w:spacing w:val="-14"/>
          <w:sz w:val="28"/>
        </w:rPr>
        <w:t>、</w:t>
      </w:r>
      <w:r>
        <w:rPr>
          <w:rFonts w:hint="eastAsia"/>
          <w:spacing w:val="-3"/>
          <w:sz w:val="28"/>
        </w:rPr>
        <w:t>用人单位以及相关各方的跟踪调查资料等。</w:t>
      </w:r>
    </w:p>
    <w:p>
      <w:pPr>
        <w:pStyle w:val="170"/>
        <w:tabs>
          <w:tab w:val="left" w:pos="1035"/>
        </w:tabs>
        <w:spacing w:line="440" w:lineRule="exact"/>
        <w:ind w:left="0" w:firstLine="560" w:firstLineChars="200"/>
        <w:jc w:val="both"/>
        <w:rPr>
          <w:sz w:val="28"/>
          <w:lang w:eastAsia="zh-CN"/>
        </w:rPr>
      </w:pPr>
      <w:r>
        <w:rPr>
          <w:sz w:val="28"/>
          <w:lang w:eastAsia="zh-CN"/>
        </w:rPr>
        <w:t>7.2</w:t>
      </w:r>
      <w:r>
        <w:rPr>
          <w:rFonts w:hint="eastAsia"/>
          <w:sz w:val="28"/>
          <w:lang w:eastAsia="zh-CN"/>
        </w:rPr>
        <w:t>适应度</w:t>
      </w:r>
    </w:p>
    <w:p>
      <w:pPr>
        <w:pStyle w:val="2"/>
        <w:spacing w:line="440" w:lineRule="exact"/>
        <w:ind w:firstLine="560" w:firstLineChars="200"/>
        <w:jc w:val="both"/>
        <w:rPr>
          <w:rFonts w:eastAsia="宋体"/>
          <w:sz w:val="28"/>
          <w:szCs w:val="28"/>
        </w:rPr>
      </w:pPr>
      <w:r>
        <w:rPr>
          <w:rFonts w:hint="eastAsia" w:eastAsia="宋体"/>
          <w:sz w:val="28"/>
          <w:szCs w:val="28"/>
        </w:rPr>
        <w:t>重点阐述：①学校近三年本科生生源情况分析。②学校近三年本科毕业生的就业情况、就业质量分析。对于学术型人才培养，要阐述毕业生面向国家和经济社会发展需要就业情况、就业质量和职业发展情况；对于应用型人才培养，要阐述毕业生面向学校所服务的区域和行业企业就业情况、就业质量及职业发展情况。③学校可通过必选定量指标达标情况、自选定量指标及常模数据比较情况，阐述学校的优势与成绩、做法与经验。</w:t>
      </w:r>
    </w:p>
    <w:p>
      <w:pPr>
        <w:pStyle w:val="2"/>
        <w:spacing w:line="440" w:lineRule="exact"/>
        <w:ind w:firstLine="560" w:firstLineChars="200"/>
        <w:jc w:val="both"/>
        <w:rPr>
          <w:rFonts w:eastAsia="宋体"/>
          <w:sz w:val="28"/>
          <w:szCs w:val="28"/>
        </w:rPr>
      </w:pPr>
      <w:r>
        <w:rPr>
          <w:rFonts w:hint="eastAsia" w:eastAsia="宋体"/>
          <w:sz w:val="28"/>
          <w:szCs w:val="28"/>
        </w:rPr>
        <w:t>支撑材料目录：列出能够证明上述自评结果的相关材料目录索引，包括学校近三年本科生生源质量分析报告；学校近三年本科生毕业质量分析报告。</w:t>
      </w:r>
    </w:p>
    <w:p>
      <w:pPr>
        <w:tabs>
          <w:tab w:val="left" w:pos="1035"/>
        </w:tabs>
        <w:spacing w:line="440" w:lineRule="exact"/>
        <w:ind w:firstLine="560" w:firstLineChars="200"/>
        <w:rPr>
          <w:rFonts w:ascii="黑体" w:hAnsi="黑体" w:eastAsia="黑体" w:cs="黑体"/>
          <w:sz w:val="28"/>
        </w:rPr>
      </w:pPr>
      <w:r>
        <w:rPr>
          <w:rFonts w:ascii="黑体" w:hAnsi="黑体" w:eastAsia="黑体" w:cs="黑体"/>
          <w:sz w:val="28"/>
        </w:rPr>
        <w:t>7.3</w:t>
      </w:r>
      <w:r>
        <w:rPr>
          <w:rFonts w:hint="eastAsia" w:ascii="黑体" w:hAnsi="黑体" w:eastAsia="黑体" w:cs="黑体"/>
          <w:sz w:val="28"/>
        </w:rPr>
        <w:t>保障度</w:t>
      </w:r>
    </w:p>
    <w:p>
      <w:pPr>
        <w:pStyle w:val="2"/>
        <w:spacing w:line="440" w:lineRule="exact"/>
        <w:ind w:firstLine="560" w:firstLineChars="200"/>
        <w:jc w:val="both"/>
        <w:rPr>
          <w:rFonts w:eastAsia="宋体"/>
          <w:sz w:val="28"/>
          <w:szCs w:val="28"/>
        </w:rPr>
      </w:pPr>
      <w:r>
        <w:rPr>
          <w:rFonts w:hint="eastAsia" w:eastAsia="宋体"/>
          <w:sz w:val="28"/>
          <w:szCs w:val="28"/>
        </w:rPr>
        <w:t>重点阐述：①学校近三年教学经费投入情况；学校教室、实验室、图书馆、体育场馆、艺术场馆等资源条件满足教学需要情况。②学校教师的数量、结构、教学水平、产学研用能力、国际视野、教学投入情况及满足人才培养需要情况。③学校可通过必选定量指标达标情况、自选定量指标及常模数据比较。</w:t>
      </w:r>
    </w:p>
    <w:p>
      <w:pPr>
        <w:pStyle w:val="2"/>
        <w:spacing w:line="440" w:lineRule="exact"/>
        <w:ind w:firstLine="560" w:firstLineChars="200"/>
        <w:jc w:val="both"/>
        <w:rPr>
          <w:rFonts w:eastAsia="宋体"/>
          <w:sz w:val="28"/>
          <w:szCs w:val="28"/>
        </w:rPr>
      </w:pPr>
      <w:r>
        <w:rPr>
          <w:rFonts w:hint="eastAsia" w:eastAsia="宋体"/>
          <w:sz w:val="28"/>
          <w:szCs w:val="28"/>
        </w:rPr>
        <w:t>支撑材料目录：列出能够证明上述自评结果的相关材料目录索引，包括学校教学经费、教室和实验室统计表、图书馆、体育场馆、艺术场馆、教师名册等材料。</w:t>
      </w:r>
    </w:p>
    <w:p>
      <w:pPr>
        <w:tabs>
          <w:tab w:val="left" w:pos="1035"/>
        </w:tabs>
        <w:spacing w:line="440" w:lineRule="exact"/>
        <w:ind w:firstLine="560" w:firstLineChars="200"/>
        <w:rPr>
          <w:rFonts w:ascii="黑体" w:hAnsi="黑体" w:eastAsia="黑体" w:cs="黑体"/>
          <w:sz w:val="28"/>
        </w:rPr>
      </w:pPr>
      <w:r>
        <w:rPr>
          <w:rFonts w:ascii="黑体" w:hAnsi="黑体" w:eastAsia="黑体" w:cs="黑体"/>
          <w:sz w:val="28"/>
        </w:rPr>
        <w:t>7.4</w:t>
      </w:r>
      <w:r>
        <w:rPr>
          <w:rFonts w:hint="eastAsia" w:ascii="黑体" w:hAnsi="黑体" w:eastAsia="黑体" w:cs="黑体"/>
          <w:sz w:val="28"/>
        </w:rPr>
        <w:t>有效度</w:t>
      </w:r>
    </w:p>
    <w:p>
      <w:pPr>
        <w:pStyle w:val="2"/>
        <w:spacing w:line="440" w:lineRule="exact"/>
        <w:ind w:firstLine="560" w:firstLineChars="200"/>
        <w:jc w:val="both"/>
        <w:rPr>
          <w:rFonts w:eastAsia="宋体"/>
          <w:sz w:val="28"/>
          <w:szCs w:val="28"/>
        </w:rPr>
      </w:pPr>
      <w:r>
        <w:rPr>
          <w:rFonts w:hint="eastAsia" w:eastAsia="宋体"/>
          <w:sz w:val="28"/>
          <w:szCs w:val="28"/>
        </w:rPr>
        <w:t>重点阐述：①学校人才培养各环节运行情况、质量情况②学校针对质量监控、质量评估和质量分析中发现的问题持续改进情况，可分析比较学校近三年人才培养核心数据的变化态势，判别人才培养工作持续改进、持续提升的效果。③列出近五年专业领域的优秀毕业生十个典型案例，总结其培养经验。</w:t>
      </w:r>
    </w:p>
    <w:p>
      <w:pPr>
        <w:pStyle w:val="2"/>
        <w:spacing w:line="440" w:lineRule="exact"/>
        <w:ind w:firstLine="560" w:firstLineChars="200"/>
        <w:jc w:val="both"/>
        <w:rPr>
          <w:rFonts w:eastAsia="宋体"/>
          <w:sz w:val="28"/>
          <w:szCs w:val="28"/>
        </w:rPr>
      </w:pPr>
      <w:r>
        <w:rPr>
          <w:rFonts w:hint="eastAsia" w:eastAsia="宋体"/>
          <w:sz w:val="28"/>
          <w:szCs w:val="28"/>
        </w:rPr>
        <w:t>支撑材料目录：列出能够证明上述自评结果的相关材料目录索引，包括对学校人才培养各环节监控、检查资料；近三年人才培养核心数据统计资料；优秀毕业生典型案例及其有关的宣传报道情况。</w:t>
      </w:r>
    </w:p>
    <w:p>
      <w:pPr>
        <w:tabs>
          <w:tab w:val="left" w:pos="1035"/>
        </w:tabs>
        <w:spacing w:line="440" w:lineRule="exact"/>
        <w:ind w:firstLine="560" w:firstLineChars="200"/>
        <w:rPr>
          <w:rFonts w:ascii="黑体" w:hAnsi="黑体" w:eastAsia="黑体" w:cs="黑体"/>
          <w:sz w:val="28"/>
        </w:rPr>
      </w:pPr>
      <w:r>
        <w:rPr>
          <w:rFonts w:ascii="黑体" w:hAnsi="黑体" w:eastAsia="黑体" w:cs="黑体"/>
          <w:sz w:val="28"/>
        </w:rPr>
        <w:t>7.5</w:t>
      </w:r>
      <w:r>
        <w:rPr>
          <w:rFonts w:hint="eastAsia" w:ascii="黑体" w:hAnsi="黑体" w:eastAsia="黑体" w:cs="黑体"/>
          <w:sz w:val="28"/>
        </w:rPr>
        <w:t>满意度</w:t>
      </w:r>
    </w:p>
    <w:p>
      <w:pPr>
        <w:pStyle w:val="2"/>
        <w:spacing w:line="440" w:lineRule="exact"/>
        <w:ind w:firstLine="560" w:firstLineChars="200"/>
        <w:jc w:val="both"/>
        <w:rPr>
          <w:rFonts w:eastAsia="宋体"/>
          <w:sz w:val="28"/>
          <w:szCs w:val="28"/>
        </w:rPr>
      </w:pPr>
      <w:r>
        <w:rPr>
          <w:rFonts w:hint="eastAsia" w:eastAsia="宋体"/>
          <w:sz w:val="28"/>
          <w:szCs w:val="28"/>
        </w:rPr>
        <w:t>重点阐述：①学校开展的对在校生和毕业生学习与成长满意度的调查情况及结论。②开展的教师对学校教育教学工作满意度的调查情况及结论。③开展的用人单位对毕业生满意度调查情况及结论。</w:t>
      </w:r>
    </w:p>
    <w:p>
      <w:pPr>
        <w:pStyle w:val="2"/>
        <w:spacing w:line="440" w:lineRule="exact"/>
        <w:ind w:firstLine="560" w:firstLineChars="200"/>
        <w:jc w:val="both"/>
        <w:rPr>
          <w:rFonts w:eastAsia="宋体"/>
          <w:sz w:val="28"/>
          <w:szCs w:val="28"/>
        </w:rPr>
      </w:pPr>
      <w:r>
        <w:rPr>
          <w:rFonts w:hint="eastAsia" w:eastAsia="宋体"/>
          <w:sz w:val="28"/>
          <w:szCs w:val="28"/>
        </w:rPr>
        <w:t>支撑材料目录：列出能够证明上述自评结果的相关材料目录索引，包括学校定期开展的在校生和毕业生座谈会、教师座谈会、用人单位座谈会和问卷调查材料；学生、教师对教学、管理、服务提出的意见和建议；社会用人单位对毕业生的评价及其对专业设置、培养目标、培养规格、培养方案、教学方法改进提出的意见等。</w:t>
      </w:r>
    </w:p>
    <w:p>
      <w:pPr>
        <w:tabs>
          <w:tab w:val="left" w:pos="1035"/>
        </w:tabs>
        <w:spacing w:line="440" w:lineRule="exact"/>
        <w:ind w:firstLine="560" w:firstLineChars="200"/>
        <w:rPr>
          <w:rFonts w:ascii="黑体" w:hAnsi="黑体" w:eastAsia="黑体" w:cs="黑体"/>
          <w:sz w:val="28"/>
        </w:rPr>
      </w:pPr>
      <w:r>
        <w:rPr>
          <w:rFonts w:ascii="黑体" w:hAnsi="黑体" w:eastAsia="黑体" w:cs="黑体"/>
          <w:sz w:val="28"/>
        </w:rPr>
        <w:t>7.6</w:t>
      </w:r>
      <w:r>
        <w:rPr>
          <w:rFonts w:hint="eastAsia" w:ascii="黑体" w:hAnsi="黑体" w:eastAsia="黑体" w:cs="黑体"/>
          <w:sz w:val="28"/>
        </w:rPr>
        <w:t>存在的问题、原因分析及下一步整改举措</w:t>
      </w:r>
    </w:p>
    <w:p>
      <w:pPr>
        <w:spacing w:line="440" w:lineRule="exact"/>
        <w:ind w:firstLine="562" w:firstLineChars="200"/>
        <w:rPr>
          <w:spacing w:val="-3"/>
          <w:sz w:val="28"/>
          <w:szCs w:val="28"/>
        </w:rPr>
      </w:pPr>
      <w:r>
        <w:rPr>
          <w:rFonts w:hint="eastAsia"/>
          <w:b/>
          <w:sz w:val="28"/>
          <w:szCs w:val="28"/>
        </w:rPr>
        <w:t>重点阐述：对照学校人才培养目标要求，</w:t>
      </w:r>
      <w:r>
        <w:rPr>
          <w:rFonts w:hint="eastAsia"/>
          <w:sz w:val="28"/>
          <w:szCs w:val="28"/>
        </w:rPr>
        <w:t>以及通过必选定量指</w:t>
      </w:r>
      <w:r>
        <w:rPr>
          <w:rFonts w:hint="eastAsia"/>
          <w:spacing w:val="-10"/>
          <w:sz w:val="28"/>
          <w:szCs w:val="28"/>
        </w:rPr>
        <w:t>标达标情况、自选定量指标及常模数据比较情况，分析</w:t>
      </w:r>
      <w:r>
        <w:rPr>
          <w:rFonts w:hint="eastAsia"/>
          <w:sz w:val="28"/>
          <w:szCs w:val="28"/>
        </w:rPr>
        <w:t>学校在教学成</w:t>
      </w:r>
      <w:r>
        <w:rPr>
          <w:rFonts w:hint="eastAsia"/>
          <w:spacing w:val="-11"/>
          <w:sz w:val="28"/>
          <w:szCs w:val="28"/>
        </w:rPr>
        <w:t>效的</w:t>
      </w:r>
      <w:r>
        <w:rPr>
          <w:spacing w:val="-11"/>
          <w:sz w:val="28"/>
          <w:szCs w:val="28"/>
        </w:rPr>
        <w:t>“</w:t>
      </w:r>
      <w:r>
        <w:rPr>
          <w:rFonts w:hint="eastAsia"/>
          <w:spacing w:val="-11"/>
          <w:sz w:val="28"/>
          <w:szCs w:val="28"/>
        </w:rPr>
        <w:t>五个度</w:t>
      </w:r>
      <w:r>
        <w:rPr>
          <w:spacing w:val="-11"/>
          <w:sz w:val="28"/>
          <w:szCs w:val="28"/>
        </w:rPr>
        <w:t>”</w:t>
      </w:r>
      <w:r>
        <w:rPr>
          <w:rFonts w:hint="eastAsia"/>
          <w:spacing w:val="-11"/>
          <w:sz w:val="28"/>
          <w:szCs w:val="28"/>
        </w:rPr>
        <w:t>方面存在的主要问题是什么，问题表现是什么，产生</w:t>
      </w:r>
      <w:r>
        <w:rPr>
          <w:rFonts w:hint="eastAsia"/>
          <w:spacing w:val="-3"/>
          <w:sz w:val="28"/>
          <w:szCs w:val="28"/>
        </w:rPr>
        <w:t>问题的根源是什么，下一步如何改。</w:t>
      </w:r>
    </w:p>
    <w:p>
      <w:pPr>
        <w:spacing w:line="440" w:lineRule="exact"/>
        <w:ind w:firstLine="548" w:firstLineChars="200"/>
        <w:rPr>
          <w:sz w:val="20"/>
        </w:rPr>
      </w:pPr>
      <w:r>
        <w:rPr>
          <w:rFonts w:ascii="黑体" w:eastAsia="黑体"/>
          <w:spacing w:val="-3"/>
          <w:sz w:val="28"/>
        </w:rPr>
        <w:t xml:space="preserve">8. </w:t>
      </w:r>
      <w:r>
        <w:rPr>
          <w:rFonts w:hint="eastAsia" w:ascii="黑体" w:eastAsia="黑体"/>
          <w:spacing w:val="-3"/>
          <w:sz w:val="28"/>
        </w:rPr>
        <w:t>安徽省高水平大学建设项目自评</w:t>
      </w:r>
    </w:p>
    <w:p>
      <w:pPr>
        <w:pStyle w:val="2"/>
        <w:spacing w:line="440" w:lineRule="exact"/>
        <w:ind w:firstLine="560" w:firstLineChars="200"/>
        <w:jc w:val="both"/>
        <w:rPr>
          <w:rFonts w:eastAsia="宋体"/>
          <w:sz w:val="28"/>
          <w:szCs w:val="28"/>
        </w:rPr>
        <w:sectPr>
          <w:pgSz w:w="11910" w:h="16840"/>
          <w:pgMar w:top="1420" w:right="1400" w:bottom="1420" w:left="1680" w:header="0" w:footer="1231" w:gutter="0"/>
          <w:cols w:space="720" w:num="1"/>
        </w:sectPr>
      </w:pPr>
      <w:r>
        <w:rPr>
          <w:rFonts w:hint="eastAsia" w:eastAsia="宋体"/>
          <w:sz w:val="28"/>
          <w:szCs w:val="28"/>
        </w:rPr>
        <w:t>重点阐述：有关高校对照自评表，全面梳理地方行业特色高水平大学或地方应用型高水平本科院校项目的完成情况，包括实施举措、推动机制、取得的成效与经验产生的社会影响和推广应用情况；项目实施过程中存在的问题及原因，以及下一步推动实施计划。</w:t>
      </w:r>
    </w:p>
    <w:p>
      <w:pPr>
        <w:pStyle w:val="2"/>
        <w:spacing w:before="8"/>
        <w:rPr>
          <w:sz w:val="23"/>
        </w:rPr>
      </w:pPr>
    </w:p>
    <w:p>
      <w:pPr>
        <w:ind w:firstLine="640" w:firstLineChars="200"/>
        <w:rPr>
          <w:rFonts w:ascii="黑体" w:hAnsi="黑体" w:eastAsia="黑体"/>
          <w:sz w:val="32"/>
          <w:szCs w:val="32"/>
        </w:rPr>
      </w:pPr>
      <w:r>
        <w:rPr>
          <w:rFonts w:hint="eastAsia" w:ascii="黑体" w:hAnsi="黑体" w:eastAsia="黑体"/>
          <w:sz w:val="32"/>
          <w:szCs w:val="32"/>
        </w:rPr>
        <w:t>附</w:t>
      </w:r>
      <w:r>
        <w:rPr>
          <w:rFonts w:ascii="黑体" w:hAnsi="黑体" w:eastAsia="黑体"/>
          <w:sz w:val="32"/>
          <w:szCs w:val="32"/>
        </w:rPr>
        <w:t>1</w:t>
      </w:r>
      <w:r>
        <w:rPr>
          <w:rFonts w:hint="eastAsia" w:ascii="黑体" w:hAnsi="黑体" w:eastAsia="黑体"/>
          <w:sz w:val="32"/>
          <w:szCs w:val="32"/>
        </w:rPr>
        <w:t>：安徽省高水平大学建设项目自评问题清单</w:t>
      </w:r>
      <w:r>
        <w:rPr>
          <w:rFonts w:hint="eastAsia"/>
          <w:sz w:val="24"/>
        </w:rPr>
        <w:t>（参考格式）</w:t>
      </w:r>
    </w:p>
    <w:p>
      <w:pPr>
        <w:pStyle w:val="2"/>
        <w:spacing w:before="5"/>
        <w:rPr>
          <w:rFonts w:ascii="黑体"/>
          <w:sz w:val="24"/>
        </w:rPr>
      </w:pPr>
    </w:p>
    <w:p>
      <w:pPr>
        <w:pStyle w:val="2"/>
        <w:spacing w:before="2"/>
        <w:rPr>
          <w:sz w:val="16"/>
        </w:rPr>
      </w:pPr>
    </w:p>
    <w:tbl>
      <w:tblPr>
        <w:tblStyle w:val="88"/>
        <w:tblW w:w="0" w:type="auto"/>
        <w:tblInd w:w="2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4"/>
        <w:gridCol w:w="2557"/>
        <w:gridCol w:w="1844"/>
        <w:gridCol w:w="2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414" w:type="dxa"/>
            <w:vMerge w:val="restart"/>
          </w:tcPr>
          <w:p>
            <w:pPr>
              <w:pStyle w:val="270"/>
              <w:spacing w:before="10"/>
              <w:rPr>
                <w:rFonts w:ascii="宋体"/>
                <w:sz w:val="19"/>
              </w:rPr>
            </w:pPr>
          </w:p>
          <w:p>
            <w:pPr>
              <w:pStyle w:val="270"/>
              <w:rPr>
                <w:rFonts w:ascii="宋体" w:eastAsia="宋体"/>
                <w:sz w:val="24"/>
              </w:rPr>
            </w:pPr>
            <w:r>
              <w:rPr>
                <w:rFonts w:hint="eastAsia" w:ascii="宋体" w:eastAsia="宋体"/>
                <w:sz w:val="24"/>
              </w:rPr>
              <w:t>问题序号</w:t>
            </w:r>
          </w:p>
        </w:tc>
        <w:tc>
          <w:tcPr>
            <w:tcW w:w="4401" w:type="dxa"/>
            <w:gridSpan w:val="2"/>
          </w:tcPr>
          <w:p>
            <w:pPr>
              <w:pStyle w:val="270"/>
              <w:spacing w:before="47"/>
              <w:rPr>
                <w:rFonts w:ascii="宋体" w:eastAsia="宋体"/>
                <w:sz w:val="24"/>
              </w:rPr>
            </w:pPr>
            <w:r>
              <w:rPr>
                <w:rFonts w:hint="eastAsia" w:ascii="宋体" w:eastAsia="宋体"/>
                <w:sz w:val="24"/>
              </w:rPr>
              <w:t>对应的审核指标</w:t>
            </w:r>
          </w:p>
        </w:tc>
        <w:tc>
          <w:tcPr>
            <w:tcW w:w="2587" w:type="dxa"/>
            <w:vMerge w:val="restart"/>
          </w:tcPr>
          <w:p>
            <w:pPr>
              <w:pStyle w:val="270"/>
              <w:spacing w:before="10"/>
              <w:rPr>
                <w:rFonts w:ascii="宋体"/>
                <w:sz w:val="19"/>
              </w:rPr>
            </w:pPr>
          </w:p>
          <w:p>
            <w:pPr>
              <w:pStyle w:val="270"/>
              <w:rPr>
                <w:rFonts w:ascii="宋体" w:eastAsia="宋体"/>
                <w:sz w:val="24"/>
              </w:rPr>
            </w:pPr>
            <w:r>
              <w:rPr>
                <w:rFonts w:hint="eastAsia" w:ascii="宋体" w:eastAsia="宋体"/>
                <w:sz w:val="24"/>
              </w:rPr>
              <w:t>问题简明表述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414" w:type="dxa"/>
            <w:vMerge w:val="continue"/>
            <w:tcBorders>
              <w:top w:val="nil"/>
            </w:tcBorders>
          </w:tcPr>
          <w:p>
            <w:pPr>
              <w:rPr>
                <w:sz w:val="2"/>
                <w:szCs w:val="2"/>
              </w:rPr>
            </w:pPr>
          </w:p>
        </w:tc>
        <w:tc>
          <w:tcPr>
            <w:tcW w:w="2557" w:type="dxa"/>
          </w:tcPr>
          <w:p>
            <w:pPr>
              <w:pStyle w:val="270"/>
              <w:spacing w:before="48"/>
              <w:rPr>
                <w:rFonts w:ascii="宋体" w:eastAsia="宋体"/>
                <w:sz w:val="24"/>
              </w:rPr>
            </w:pPr>
            <w:r>
              <w:rPr>
                <w:rFonts w:hint="eastAsia" w:ascii="宋体" w:eastAsia="宋体"/>
                <w:sz w:val="24"/>
              </w:rPr>
              <w:t>一级指标</w:t>
            </w:r>
          </w:p>
        </w:tc>
        <w:tc>
          <w:tcPr>
            <w:tcW w:w="1844" w:type="dxa"/>
          </w:tcPr>
          <w:p>
            <w:pPr>
              <w:pStyle w:val="270"/>
              <w:spacing w:before="48"/>
              <w:rPr>
                <w:rFonts w:ascii="宋体" w:eastAsia="宋体"/>
                <w:sz w:val="24"/>
              </w:rPr>
            </w:pPr>
            <w:r>
              <w:rPr>
                <w:rFonts w:hint="eastAsia" w:ascii="宋体" w:eastAsia="宋体"/>
                <w:sz w:val="24"/>
              </w:rPr>
              <w:t>二级指标</w:t>
            </w:r>
          </w:p>
        </w:tc>
        <w:tc>
          <w:tcPr>
            <w:tcW w:w="258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414" w:type="dxa"/>
          </w:tcPr>
          <w:p>
            <w:pPr>
              <w:pStyle w:val="270"/>
              <w:rPr>
                <w:rFonts w:ascii="Times New Roman"/>
                <w:sz w:val="26"/>
              </w:rPr>
            </w:pPr>
          </w:p>
        </w:tc>
        <w:tc>
          <w:tcPr>
            <w:tcW w:w="2557" w:type="dxa"/>
          </w:tcPr>
          <w:p>
            <w:pPr>
              <w:pStyle w:val="270"/>
              <w:rPr>
                <w:rFonts w:ascii="Times New Roman"/>
                <w:sz w:val="26"/>
              </w:rPr>
            </w:pPr>
          </w:p>
        </w:tc>
        <w:tc>
          <w:tcPr>
            <w:tcW w:w="1844" w:type="dxa"/>
          </w:tcPr>
          <w:p>
            <w:pPr>
              <w:pStyle w:val="270"/>
              <w:rPr>
                <w:rFonts w:ascii="Times New Roman"/>
                <w:sz w:val="26"/>
              </w:rPr>
            </w:pPr>
          </w:p>
        </w:tc>
        <w:tc>
          <w:tcPr>
            <w:tcW w:w="2587"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414" w:type="dxa"/>
          </w:tcPr>
          <w:p>
            <w:pPr>
              <w:pStyle w:val="270"/>
              <w:rPr>
                <w:rFonts w:ascii="Times New Roman"/>
                <w:sz w:val="26"/>
              </w:rPr>
            </w:pPr>
          </w:p>
        </w:tc>
        <w:tc>
          <w:tcPr>
            <w:tcW w:w="2557" w:type="dxa"/>
          </w:tcPr>
          <w:p>
            <w:pPr>
              <w:pStyle w:val="270"/>
              <w:rPr>
                <w:rFonts w:ascii="Times New Roman"/>
                <w:sz w:val="26"/>
              </w:rPr>
            </w:pPr>
          </w:p>
        </w:tc>
        <w:tc>
          <w:tcPr>
            <w:tcW w:w="1844" w:type="dxa"/>
          </w:tcPr>
          <w:p>
            <w:pPr>
              <w:pStyle w:val="270"/>
              <w:rPr>
                <w:rFonts w:ascii="Times New Roman"/>
                <w:sz w:val="26"/>
              </w:rPr>
            </w:pPr>
          </w:p>
        </w:tc>
        <w:tc>
          <w:tcPr>
            <w:tcW w:w="2587"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414" w:type="dxa"/>
          </w:tcPr>
          <w:p>
            <w:pPr>
              <w:pStyle w:val="270"/>
              <w:rPr>
                <w:rFonts w:ascii="Times New Roman"/>
                <w:sz w:val="26"/>
              </w:rPr>
            </w:pPr>
          </w:p>
        </w:tc>
        <w:tc>
          <w:tcPr>
            <w:tcW w:w="2557" w:type="dxa"/>
          </w:tcPr>
          <w:p>
            <w:pPr>
              <w:pStyle w:val="270"/>
              <w:rPr>
                <w:rFonts w:ascii="Times New Roman"/>
                <w:sz w:val="26"/>
              </w:rPr>
            </w:pPr>
          </w:p>
        </w:tc>
        <w:tc>
          <w:tcPr>
            <w:tcW w:w="1844" w:type="dxa"/>
          </w:tcPr>
          <w:p>
            <w:pPr>
              <w:pStyle w:val="270"/>
              <w:rPr>
                <w:rFonts w:ascii="Times New Roman"/>
                <w:sz w:val="26"/>
              </w:rPr>
            </w:pPr>
          </w:p>
        </w:tc>
        <w:tc>
          <w:tcPr>
            <w:tcW w:w="2587" w:type="dxa"/>
          </w:tcPr>
          <w:p>
            <w:pPr>
              <w:pStyle w:val="270"/>
              <w:rPr>
                <w:rFonts w:ascii="Times New Roman"/>
                <w:sz w:val="26"/>
              </w:rPr>
            </w:pPr>
          </w:p>
        </w:tc>
      </w:tr>
    </w:tbl>
    <w:p>
      <w:pPr>
        <w:pStyle w:val="2"/>
        <w:rPr>
          <w:sz w:val="24"/>
        </w:rPr>
      </w:pPr>
    </w:p>
    <w:p>
      <w:pPr>
        <w:pStyle w:val="2"/>
        <w:rPr>
          <w:sz w:val="24"/>
        </w:rPr>
      </w:pPr>
    </w:p>
    <w:p>
      <w:pPr>
        <w:pStyle w:val="2"/>
        <w:spacing w:before="3"/>
        <w:rPr>
          <w:sz w:val="33"/>
        </w:rPr>
      </w:pPr>
    </w:p>
    <w:p>
      <w:pPr>
        <w:ind w:firstLine="600" w:firstLineChars="200"/>
        <w:rPr>
          <w:rFonts w:ascii="黑体" w:hAnsi="黑体" w:eastAsia="黑体"/>
          <w:sz w:val="30"/>
          <w:szCs w:val="30"/>
        </w:rPr>
      </w:pPr>
      <w:r>
        <w:rPr>
          <w:rFonts w:hint="eastAsia" w:ascii="黑体" w:hAnsi="黑体" w:eastAsia="黑体"/>
          <w:sz w:val="30"/>
          <w:szCs w:val="30"/>
        </w:rPr>
        <w:t>附</w:t>
      </w:r>
      <w:r>
        <w:rPr>
          <w:rFonts w:ascii="黑体" w:hAnsi="黑体" w:eastAsia="黑体"/>
          <w:sz w:val="30"/>
          <w:szCs w:val="30"/>
        </w:rPr>
        <w:t>2</w:t>
      </w:r>
      <w:r>
        <w:rPr>
          <w:rFonts w:hint="eastAsia" w:ascii="黑体" w:hAnsi="黑体" w:eastAsia="黑体"/>
          <w:sz w:val="30"/>
          <w:szCs w:val="30"/>
        </w:rPr>
        <w:t>：支撑材料目录</w:t>
      </w:r>
      <w:r>
        <w:rPr>
          <w:rFonts w:hint="eastAsia"/>
          <w:sz w:val="24"/>
        </w:rPr>
        <w:t>（参考格式）</w:t>
      </w:r>
    </w:p>
    <w:p>
      <w:pPr>
        <w:spacing w:line="400" w:lineRule="exact"/>
        <w:jc w:val="center"/>
        <w:rPr>
          <w:sz w:val="24"/>
          <w:szCs w:val="24"/>
        </w:rPr>
      </w:pP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0"/>
        <w:gridCol w:w="1560"/>
        <w:gridCol w:w="1610"/>
        <w:gridCol w:w="3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20" w:type="dxa"/>
            <w:vMerge w:val="restart"/>
          </w:tcPr>
          <w:p>
            <w:pPr>
              <w:spacing w:before="10"/>
              <w:rPr>
                <w:rFonts w:hAnsi="仿宋" w:eastAsia="仿宋" w:cs="仿宋"/>
                <w:sz w:val="19"/>
                <w:szCs w:val="24"/>
                <w:lang w:val="zh-CN"/>
              </w:rPr>
            </w:pPr>
          </w:p>
          <w:p>
            <w:pPr>
              <w:rPr>
                <w:rFonts w:hAnsi="仿宋" w:cs="仿宋"/>
                <w:sz w:val="24"/>
                <w:szCs w:val="24"/>
                <w:lang w:val="zh-CN"/>
              </w:rPr>
            </w:pPr>
            <w:r>
              <w:rPr>
                <w:rFonts w:hint="eastAsia" w:hAnsi="仿宋" w:cs="仿宋"/>
                <w:sz w:val="24"/>
                <w:szCs w:val="24"/>
                <w:lang w:val="zh-CN"/>
              </w:rPr>
              <w:t>序号</w:t>
            </w:r>
            <w:r>
              <w:rPr>
                <w:rFonts w:hAnsi="仿宋" w:cs="仿宋"/>
                <w:sz w:val="24"/>
                <w:szCs w:val="24"/>
              </w:rPr>
              <w:t>/</w:t>
            </w:r>
            <w:r>
              <w:rPr>
                <w:rFonts w:hint="eastAsia" w:hAnsi="仿宋" w:cs="仿宋"/>
                <w:sz w:val="24"/>
                <w:szCs w:val="24"/>
                <w:lang w:val="zh-CN"/>
              </w:rPr>
              <w:t>编号</w:t>
            </w:r>
          </w:p>
        </w:tc>
        <w:tc>
          <w:tcPr>
            <w:tcW w:w="3170" w:type="dxa"/>
            <w:gridSpan w:val="2"/>
          </w:tcPr>
          <w:p>
            <w:pPr>
              <w:jc w:val="center"/>
              <w:rPr>
                <w:rFonts w:hAnsi="仿宋" w:cs="仿宋"/>
                <w:sz w:val="24"/>
                <w:szCs w:val="24"/>
                <w:lang w:val="zh-CN"/>
              </w:rPr>
            </w:pPr>
            <w:r>
              <w:rPr>
                <w:rFonts w:hint="eastAsia" w:hAnsi="仿宋" w:cs="仿宋"/>
                <w:sz w:val="24"/>
                <w:szCs w:val="24"/>
                <w:lang w:val="zh-CN"/>
              </w:rPr>
              <w:t>对应的审核指标</w:t>
            </w:r>
          </w:p>
        </w:tc>
        <w:tc>
          <w:tcPr>
            <w:tcW w:w="3958" w:type="dxa"/>
            <w:vMerge w:val="restart"/>
          </w:tcPr>
          <w:p>
            <w:pPr>
              <w:spacing w:before="10"/>
              <w:rPr>
                <w:rFonts w:hAnsi="仿宋" w:eastAsia="仿宋" w:cs="仿宋"/>
                <w:sz w:val="19"/>
                <w:szCs w:val="24"/>
                <w:lang w:val="zh-CN"/>
              </w:rPr>
            </w:pPr>
          </w:p>
          <w:p>
            <w:pPr>
              <w:jc w:val="center"/>
              <w:rPr>
                <w:rFonts w:hAnsi="仿宋" w:cs="仿宋"/>
                <w:sz w:val="24"/>
                <w:szCs w:val="24"/>
                <w:lang w:val="zh-CN"/>
              </w:rPr>
            </w:pPr>
            <w:r>
              <w:rPr>
                <w:rFonts w:hint="eastAsia" w:hAnsi="仿宋" w:cs="仿宋"/>
                <w:sz w:val="24"/>
                <w:szCs w:val="24"/>
                <w:lang w:val="zh-CN"/>
              </w:rPr>
              <w:t>支撑材料名称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20" w:type="dxa"/>
            <w:vMerge w:val="continue"/>
            <w:tcBorders>
              <w:top w:val="nil"/>
            </w:tcBorders>
          </w:tcPr>
          <w:p>
            <w:pPr>
              <w:rPr>
                <w:sz w:val="2"/>
                <w:szCs w:val="2"/>
              </w:rPr>
            </w:pPr>
          </w:p>
        </w:tc>
        <w:tc>
          <w:tcPr>
            <w:tcW w:w="1560" w:type="dxa"/>
          </w:tcPr>
          <w:p>
            <w:pPr>
              <w:spacing w:before="48"/>
              <w:jc w:val="center"/>
              <w:rPr>
                <w:rFonts w:hAnsi="仿宋" w:cs="仿宋"/>
                <w:sz w:val="24"/>
                <w:szCs w:val="24"/>
                <w:lang w:val="zh-CN"/>
              </w:rPr>
            </w:pPr>
            <w:r>
              <w:rPr>
                <w:rFonts w:hint="eastAsia" w:hAnsi="仿宋" w:cs="仿宋"/>
                <w:sz w:val="24"/>
                <w:szCs w:val="24"/>
                <w:lang w:val="zh-CN"/>
              </w:rPr>
              <w:t>一级指标</w:t>
            </w:r>
          </w:p>
        </w:tc>
        <w:tc>
          <w:tcPr>
            <w:tcW w:w="1610" w:type="dxa"/>
          </w:tcPr>
          <w:p>
            <w:pPr>
              <w:spacing w:before="48"/>
              <w:jc w:val="center"/>
              <w:rPr>
                <w:rFonts w:hAnsi="仿宋" w:cs="仿宋"/>
                <w:sz w:val="24"/>
                <w:szCs w:val="24"/>
                <w:lang w:val="zh-CN"/>
              </w:rPr>
            </w:pPr>
            <w:r>
              <w:rPr>
                <w:rFonts w:hint="eastAsia" w:hAnsi="仿宋" w:cs="仿宋"/>
                <w:sz w:val="24"/>
                <w:szCs w:val="24"/>
                <w:lang w:val="zh-CN"/>
              </w:rPr>
              <w:t>二级指标</w:t>
            </w:r>
          </w:p>
        </w:tc>
        <w:tc>
          <w:tcPr>
            <w:tcW w:w="39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320" w:type="dxa"/>
          </w:tcPr>
          <w:p>
            <w:pPr>
              <w:rPr>
                <w:rFonts w:hAnsi="仿宋" w:eastAsia="仿宋" w:cs="仿宋"/>
                <w:sz w:val="26"/>
                <w:szCs w:val="24"/>
                <w:lang w:val="zh-CN"/>
              </w:rPr>
            </w:pPr>
          </w:p>
        </w:tc>
        <w:tc>
          <w:tcPr>
            <w:tcW w:w="1560" w:type="dxa"/>
          </w:tcPr>
          <w:p>
            <w:pPr>
              <w:rPr>
                <w:rFonts w:hAnsi="仿宋" w:eastAsia="仿宋" w:cs="仿宋"/>
                <w:sz w:val="26"/>
                <w:szCs w:val="24"/>
                <w:lang w:val="zh-CN"/>
              </w:rPr>
            </w:pPr>
          </w:p>
        </w:tc>
        <w:tc>
          <w:tcPr>
            <w:tcW w:w="1610" w:type="dxa"/>
          </w:tcPr>
          <w:p>
            <w:pPr>
              <w:rPr>
                <w:rFonts w:hAnsi="仿宋" w:eastAsia="仿宋" w:cs="仿宋"/>
                <w:sz w:val="26"/>
                <w:szCs w:val="24"/>
                <w:lang w:val="zh-CN"/>
              </w:rPr>
            </w:pPr>
          </w:p>
        </w:tc>
        <w:tc>
          <w:tcPr>
            <w:tcW w:w="3958" w:type="dxa"/>
          </w:tcPr>
          <w:p>
            <w:pPr>
              <w:rPr>
                <w:rFonts w:hAnsi="仿宋" w:eastAsia="仿宋" w:cs="仿宋"/>
                <w:sz w:val="26"/>
                <w:szCs w:val="24"/>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320" w:type="dxa"/>
          </w:tcPr>
          <w:p>
            <w:pPr>
              <w:rPr>
                <w:rFonts w:hAnsi="仿宋" w:eastAsia="仿宋" w:cs="仿宋"/>
                <w:sz w:val="26"/>
                <w:szCs w:val="24"/>
                <w:lang w:val="zh-CN"/>
              </w:rPr>
            </w:pPr>
          </w:p>
        </w:tc>
        <w:tc>
          <w:tcPr>
            <w:tcW w:w="1560" w:type="dxa"/>
          </w:tcPr>
          <w:p>
            <w:pPr>
              <w:rPr>
                <w:rFonts w:hAnsi="仿宋" w:eastAsia="仿宋" w:cs="仿宋"/>
                <w:sz w:val="26"/>
                <w:szCs w:val="24"/>
                <w:lang w:val="zh-CN"/>
              </w:rPr>
            </w:pPr>
          </w:p>
        </w:tc>
        <w:tc>
          <w:tcPr>
            <w:tcW w:w="1610" w:type="dxa"/>
          </w:tcPr>
          <w:p>
            <w:pPr>
              <w:rPr>
                <w:rFonts w:hAnsi="仿宋" w:eastAsia="仿宋" w:cs="仿宋"/>
                <w:sz w:val="26"/>
                <w:szCs w:val="24"/>
                <w:lang w:val="zh-CN"/>
              </w:rPr>
            </w:pPr>
          </w:p>
        </w:tc>
        <w:tc>
          <w:tcPr>
            <w:tcW w:w="3958" w:type="dxa"/>
          </w:tcPr>
          <w:p>
            <w:pPr>
              <w:rPr>
                <w:rFonts w:hAnsi="仿宋" w:eastAsia="仿宋" w:cs="仿宋"/>
                <w:sz w:val="26"/>
                <w:szCs w:val="24"/>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320" w:type="dxa"/>
          </w:tcPr>
          <w:p>
            <w:pPr>
              <w:rPr>
                <w:rFonts w:hAnsi="仿宋" w:eastAsia="仿宋" w:cs="仿宋"/>
                <w:sz w:val="26"/>
                <w:szCs w:val="24"/>
                <w:lang w:val="zh-CN"/>
              </w:rPr>
            </w:pPr>
          </w:p>
        </w:tc>
        <w:tc>
          <w:tcPr>
            <w:tcW w:w="1560" w:type="dxa"/>
          </w:tcPr>
          <w:p>
            <w:pPr>
              <w:rPr>
                <w:rFonts w:hAnsi="仿宋" w:eastAsia="仿宋" w:cs="仿宋"/>
                <w:sz w:val="26"/>
                <w:szCs w:val="24"/>
                <w:lang w:val="zh-CN"/>
              </w:rPr>
            </w:pPr>
          </w:p>
        </w:tc>
        <w:tc>
          <w:tcPr>
            <w:tcW w:w="1610" w:type="dxa"/>
          </w:tcPr>
          <w:p>
            <w:pPr>
              <w:rPr>
                <w:rFonts w:hAnsi="仿宋" w:eastAsia="仿宋" w:cs="仿宋"/>
                <w:sz w:val="26"/>
                <w:szCs w:val="24"/>
                <w:lang w:val="zh-CN"/>
              </w:rPr>
            </w:pPr>
          </w:p>
        </w:tc>
        <w:tc>
          <w:tcPr>
            <w:tcW w:w="3958" w:type="dxa"/>
          </w:tcPr>
          <w:p>
            <w:pPr>
              <w:rPr>
                <w:rFonts w:hAnsi="仿宋" w:eastAsia="仿宋" w:cs="仿宋"/>
                <w:sz w:val="26"/>
                <w:szCs w:val="24"/>
                <w:lang w:val="zh-CN"/>
              </w:rPr>
            </w:pPr>
          </w:p>
        </w:tc>
      </w:tr>
    </w:tbl>
    <w:p>
      <w:pPr>
        <w:spacing w:line="400" w:lineRule="exact"/>
        <w:ind w:firstLine="482" w:firstLineChars="200"/>
        <w:rPr>
          <w:b/>
          <w:bCs/>
          <w:sz w:val="24"/>
          <w:szCs w:val="24"/>
        </w:rPr>
      </w:pPr>
    </w:p>
    <w:p>
      <w:pPr>
        <w:ind w:firstLine="600" w:firstLineChars="200"/>
        <w:rPr>
          <w:rFonts w:ascii="黑体" w:hAnsi="黑体" w:eastAsia="黑体"/>
          <w:sz w:val="30"/>
          <w:szCs w:val="30"/>
        </w:rPr>
      </w:pPr>
    </w:p>
    <w:p>
      <w:pPr>
        <w:sectPr>
          <w:pgSz w:w="11910" w:h="16840"/>
          <w:pgMar w:top="1420" w:right="1400" w:bottom="1420" w:left="1680" w:header="0" w:footer="1231" w:gutter="0"/>
          <w:cols w:space="720" w:num="1"/>
        </w:sectPr>
      </w:pPr>
    </w:p>
    <w:p>
      <w:pPr>
        <w:pStyle w:val="5"/>
        <w:rPr>
          <w:b w:val="0"/>
          <w:bCs w:val="0"/>
          <w:sz w:val="24"/>
          <w:szCs w:val="24"/>
        </w:rPr>
      </w:pPr>
      <w:bookmarkStart w:id="31" w:name="_Toc124775253"/>
      <w:r>
        <w:rPr>
          <w:rFonts w:hint="eastAsia"/>
          <w:b w:val="0"/>
          <w:bCs w:val="0"/>
          <w:sz w:val="24"/>
          <w:szCs w:val="24"/>
        </w:rPr>
        <w:t>附件</w:t>
      </w:r>
      <w:r>
        <w:rPr>
          <w:b w:val="0"/>
          <w:bCs w:val="0"/>
          <w:sz w:val="24"/>
          <w:szCs w:val="24"/>
        </w:rPr>
        <w:t>4.</w:t>
      </w:r>
      <w:r>
        <w:rPr>
          <w:rFonts w:hint="eastAsia"/>
          <w:b w:val="0"/>
          <w:bCs w:val="0"/>
          <w:sz w:val="24"/>
          <w:szCs w:val="24"/>
        </w:rPr>
        <w:t>《审核评估整改方案》撰写指导</w:t>
      </w:r>
      <w:bookmarkEnd w:id="31"/>
    </w:p>
    <w:p>
      <w:pPr>
        <w:pStyle w:val="2"/>
        <w:rPr>
          <w:rFonts w:ascii="黑体"/>
          <w:sz w:val="32"/>
        </w:rPr>
      </w:pPr>
    </w:p>
    <w:p>
      <w:pPr>
        <w:pStyle w:val="2"/>
        <w:rPr>
          <w:rFonts w:ascii="黑体"/>
          <w:sz w:val="32"/>
        </w:rPr>
      </w:pPr>
    </w:p>
    <w:p>
      <w:pPr>
        <w:pStyle w:val="2"/>
        <w:rPr>
          <w:rFonts w:ascii="黑体"/>
          <w:sz w:val="32"/>
        </w:rPr>
      </w:pPr>
    </w:p>
    <w:p>
      <w:pPr>
        <w:pStyle w:val="2"/>
        <w:spacing w:before="2"/>
        <w:rPr>
          <w:rFonts w:ascii="黑体"/>
          <w:sz w:val="33"/>
        </w:rPr>
      </w:pPr>
    </w:p>
    <w:p>
      <w:pPr>
        <w:spacing w:line="489" w:lineRule="auto"/>
        <w:jc w:val="center"/>
        <w:rPr>
          <w:rFonts w:ascii="华文中宋" w:eastAsia="华文中宋"/>
          <w:b/>
          <w:sz w:val="44"/>
        </w:rPr>
      </w:pPr>
      <w:r>
        <w:rPr>
          <w:rFonts w:hint="eastAsia" w:ascii="华文中宋" w:eastAsia="华文中宋"/>
          <w:b/>
          <w:w w:val="95"/>
          <w:sz w:val="44"/>
        </w:rPr>
        <w:t>普通高等学校本科教育教学审核评估</w:t>
      </w:r>
      <w:r>
        <w:rPr>
          <w:rFonts w:hint="eastAsia" w:ascii="华文中宋" w:eastAsia="华文中宋"/>
          <w:b/>
          <w:sz w:val="44"/>
        </w:rPr>
        <w:t>整改方案</w:t>
      </w:r>
    </w:p>
    <w:p>
      <w:pPr>
        <w:spacing w:line="374" w:lineRule="exact"/>
        <w:jc w:val="center"/>
        <w:rPr>
          <w:rFonts w:ascii="黑体" w:eastAsia="黑体"/>
          <w:sz w:val="32"/>
        </w:rPr>
      </w:pPr>
      <w:r>
        <w:rPr>
          <w:rFonts w:ascii="黑体" w:eastAsia="黑体"/>
          <w:sz w:val="32"/>
        </w:rPr>
        <w:t>&lt;</w:t>
      </w:r>
      <w:r>
        <w:rPr>
          <w:rFonts w:hint="eastAsia" w:ascii="黑体" w:eastAsia="黑体"/>
          <w:sz w:val="32"/>
        </w:rPr>
        <w:t>可以插入学校的</w:t>
      </w:r>
      <w:r>
        <w:rPr>
          <w:rFonts w:ascii="黑体" w:eastAsia="黑体"/>
          <w:sz w:val="32"/>
        </w:rPr>
        <w:t>logo&gt;</w:t>
      </w:r>
    </w:p>
    <w:p>
      <w:pPr>
        <w:pStyle w:val="2"/>
        <w:rPr>
          <w:rFonts w:ascii="黑体"/>
          <w:sz w:val="32"/>
        </w:rPr>
      </w:pPr>
    </w:p>
    <w:p>
      <w:pPr>
        <w:pStyle w:val="2"/>
        <w:rPr>
          <w:rFonts w:ascii="黑体"/>
          <w:sz w:val="32"/>
        </w:rPr>
      </w:pPr>
    </w:p>
    <w:p>
      <w:pPr>
        <w:pStyle w:val="2"/>
        <w:rPr>
          <w:rFonts w:ascii="黑体"/>
          <w:sz w:val="32"/>
        </w:rPr>
      </w:pPr>
    </w:p>
    <w:p>
      <w:pPr>
        <w:pStyle w:val="2"/>
        <w:rPr>
          <w:rFonts w:ascii="黑体"/>
          <w:sz w:val="32"/>
        </w:rPr>
      </w:pPr>
    </w:p>
    <w:p>
      <w:pPr>
        <w:pStyle w:val="2"/>
        <w:rPr>
          <w:rFonts w:ascii="黑体"/>
          <w:sz w:val="32"/>
        </w:rPr>
      </w:pPr>
    </w:p>
    <w:p>
      <w:pPr>
        <w:pStyle w:val="2"/>
        <w:rPr>
          <w:rFonts w:ascii="黑体"/>
          <w:sz w:val="32"/>
        </w:rPr>
      </w:pPr>
    </w:p>
    <w:tbl>
      <w:tblPr>
        <w:tblStyle w:val="88"/>
        <w:tblW w:w="0" w:type="auto"/>
        <w:tblInd w:w="-108" w:type="dxa"/>
        <w:tblLayout w:type="fixed"/>
        <w:tblCellMar>
          <w:top w:w="0" w:type="dxa"/>
          <w:left w:w="108" w:type="dxa"/>
          <w:bottom w:w="0" w:type="dxa"/>
          <w:right w:w="108" w:type="dxa"/>
        </w:tblCellMar>
      </w:tblPr>
      <w:tblGrid>
        <w:gridCol w:w="3256"/>
        <w:gridCol w:w="5564"/>
      </w:tblGrid>
      <w:tr>
        <w:tblPrEx>
          <w:tblCellMar>
            <w:top w:w="0" w:type="dxa"/>
            <w:left w:w="108" w:type="dxa"/>
            <w:bottom w:w="0" w:type="dxa"/>
            <w:right w:w="108" w:type="dxa"/>
          </w:tblCellMar>
        </w:tblPrEx>
        <w:tc>
          <w:tcPr>
            <w:tcW w:w="3256" w:type="dxa"/>
          </w:tcPr>
          <w:p>
            <w:pPr>
              <w:pStyle w:val="2"/>
              <w:spacing w:line="480" w:lineRule="auto"/>
              <w:jc w:val="right"/>
              <w:rPr>
                <w:rFonts w:ascii="黑体"/>
                <w:kern w:val="2"/>
                <w:sz w:val="32"/>
                <w:szCs w:val="22"/>
              </w:rPr>
            </w:pPr>
            <w:r>
              <w:rPr>
                <w:rFonts w:hint="eastAsia" w:ascii="黑体"/>
                <w:kern w:val="2"/>
                <w:sz w:val="32"/>
                <w:szCs w:val="22"/>
              </w:rPr>
              <w:t>学校名称（公章）：</w:t>
            </w:r>
          </w:p>
          <w:p>
            <w:pPr>
              <w:pStyle w:val="2"/>
              <w:spacing w:line="480" w:lineRule="auto"/>
              <w:jc w:val="right"/>
              <w:rPr>
                <w:rFonts w:ascii="黑体"/>
                <w:spacing w:val="-4"/>
                <w:kern w:val="2"/>
                <w:sz w:val="32"/>
                <w:szCs w:val="22"/>
              </w:rPr>
            </w:pPr>
            <w:r>
              <w:rPr>
                <w:rFonts w:hint="eastAsia" w:ascii="黑体"/>
                <w:kern w:val="2"/>
                <w:sz w:val="32"/>
                <w:szCs w:val="22"/>
              </w:rPr>
              <w:t>学校联系人：</w:t>
            </w:r>
          </w:p>
          <w:p>
            <w:pPr>
              <w:pStyle w:val="2"/>
              <w:spacing w:line="480" w:lineRule="auto"/>
              <w:jc w:val="right"/>
              <w:rPr>
                <w:rFonts w:ascii="黑体"/>
                <w:spacing w:val="-4"/>
                <w:kern w:val="2"/>
                <w:sz w:val="32"/>
                <w:szCs w:val="22"/>
              </w:rPr>
            </w:pPr>
            <w:r>
              <w:rPr>
                <w:rFonts w:hint="eastAsia" w:ascii="黑体"/>
                <w:spacing w:val="-4"/>
                <w:kern w:val="2"/>
                <w:sz w:val="32"/>
                <w:szCs w:val="22"/>
              </w:rPr>
              <w:t>联系电话：</w:t>
            </w:r>
          </w:p>
          <w:p>
            <w:pPr>
              <w:pStyle w:val="2"/>
              <w:spacing w:line="480" w:lineRule="auto"/>
              <w:jc w:val="right"/>
              <w:rPr>
                <w:rFonts w:ascii="黑体"/>
                <w:spacing w:val="-4"/>
                <w:kern w:val="2"/>
                <w:sz w:val="32"/>
                <w:szCs w:val="22"/>
              </w:rPr>
            </w:pPr>
            <w:r>
              <w:rPr>
                <w:rFonts w:hint="eastAsia" w:ascii="黑体"/>
                <w:spacing w:val="-4"/>
                <w:kern w:val="2"/>
                <w:sz w:val="32"/>
                <w:szCs w:val="22"/>
              </w:rPr>
              <w:t>联系邮箱：</w:t>
            </w:r>
          </w:p>
          <w:p>
            <w:pPr>
              <w:pStyle w:val="2"/>
              <w:spacing w:line="480" w:lineRule="auto"/>
              <w:jc w:val="right"/>
              <w:rPr>
                <w:rFonts w:ascii="黑体"/>
                <w:kern w:val="2"/>
                <w:sz w:val="32"/>
                <w:szCs w:val="22"/>
              </w:rPr>
            </w:pPr>
            <w:r>
              <w:rPr>
                <w:rFonts w:hint="eastAsia" w:ascii="黑体"/>
                <w:kern w:val="2"/>
                <w:sz w:val="32"/>
                <w:szCs w:val="22"/>
              </w:rPr>
              <w:t>学校校长（签字）：</w:t>
            </w:r>
          </w:p>
          <w:p>
            <w:pPr>
              <w:pStyle w:val="2"/>
              <w:spacing w:line="480" w:lineRule="auto"/>
              <w:jc w:val="right"/>
              <w:rPr>
                <w:rFonts w:ascii="黑体"/>
                <w:kern w:val="2"/>
                <w:sz w:val="32"/>
                <w:szCs w:val="22"/>
              </w:rPr>
            </w:pPr>
            <w:r>
              <w:rPr>
                <w:rFonts w:hint="eastAsia" w:ascii="黑体"/>
                <w:kern w:val="2"/>
                <w:sz w:val="32"/>
                <w:szCs w:val="22"/>
              </w:rPr>
              <w:t>提交日期：</w:t>
            </w:r>
          </w:p>
        </w:tc>
        <w:tc>
          <w:tcPr>
            <w:tcW w:w="5564" w:type="dxa"/>
          </w:tcPr>
          <w:p>
            <w:pPr>
              <w:pStyle w:val="2"/>
              <w:rPr>
                <w:rFonts w:ascii="黑体"/>
                <w:kern w:val="2"/>
                <w:sz w:val="32"/>
                <w:szCs w:val="22"/>
              </w:rPr>
            </w:pPr>
          </w:p>
        </w:tc>
      </w:tr>
    </w:tbl>
    <w:p>
      <w:pPr>
        <w:spacing w:before="3" w:line="456" w:lineRule="auto"/>
        <w:rPr>
          <w:rFonts w:ascii="黑体" w:eastAsia="黑体"/>
          <w:sz w:val="32"/>
        </w:rPr>
      </w:pPr>
    </w:p>
    <w:p>
      <w:pPr>
        <w:spacing w:line="456" w:lineRule="auto"/>
        <w:rPr>
          <w:rFonts w:ascii="黑体" w:eastAsia="黑体"/>
          <w:sz w:val="32"/>
        </w:rPr>
        <w:sectPr>
          <w:pgSz w:w="11910" w:h="16840"/>
          <w:pgMar w:top="1580" w:right="1400" w:bottom="1420" w:left="1680" w:header="0" w:footer="1231" w:gutter="0"/>
          <w:cols w:space="720" w:num="1"/>
        </w:sectPr>
      </w:pPr>
    </w:p>
    <w:p>
      <w:pPr>
        <w:spacing w:before="225"/>
        <w:jc w:val="center"/>
        <w:rPr>
          <w:rFonts w:ascii="黑体" w:eastAsia="黑体"/>
          <w:sz w:val="32"/>
        </w:rPr>
      </w:pPr>
      <w:r>
        <w:rPr>
          <w:rFonts w:hint="eastAsia" w:ascii="黑体" w:eastAsia="黑体"/>
          <w:sz w:val="32"/>
        </w:rPr>
        <w:t>撰写说明</w:t>
      </w:r>
    </w:p>
    <w:p>
      <w:pPr>
        <w:pStyle w:val="2"/>
        <w:rPr>
          <w:rFonts w:ascii="黑体"/>
          <w:sz w:val="32"/>
        </w:rPr>
      </w:pPr>
    </w:p>
    <w:p>
      <w:pPr>
        <w:pStyle w:val="2"/>
        <w:spacing w:before="6"/>
        <w:rPr>
          <w:rFonts w:ascii="黑体"/>
          <w:sz w:val="22"/>
        </w:rPr>
      </w:pPr>
    </w:p>
    <w:p>
      <w:pPr>
        <w:pStyle w:val="170"/>
        <w:numPr>
          <w:ilvl w:val="2"/>
          <w:numId w:val="15"/>
        </w:numPr>
        <w:tabs>
          <w:tab w:val="left" w:pos="963"/>
        </w:tabs>
        <w:spacing w:line="333" w:lineRule="auto"/>
        <w:ind w:left="0" w:firstLine="559"/>
        <w:rPr>
          <w:rFonts w:ascii="宋体" w:hAnsi="宋体" w:eastAsia="宋体"/>
          <w:sz w:val="28"/>
          <w:lang w:eastAsia="zh-CN"/>
        </w:rPr>
      </w:pPr>
      <w:r>
        <w:rPr>
          <w:rFonts w:hint="eastAsia" w:ascii="宋体" w:hAnsi="宋体" w:eastAsia="宋体"/>
          <w:spacing w:val="-9"/>
          <w:sz w:val="28"/>
          <w:lang w:eastAsia="zh-CN"/>
        </w:rPr>
        <w:t>格式文本中的黑体字体为规定内容，撰写时予以保留；其他字</w:t>
      </w:r>
      <w:r>
        <w:rPr>
          <w:rFonts w:hint="eastAsia" w:ascii="宋体" w:hAnsi="宋体" w:eastAsia="宋体"/>
          <w:spacing w:val="-3"/>
          <w:sz w:val="28"/>
          <w:lang w:eastAsia="zh-CN"/>
        </w:rPr>
        <w:t>体为提示参考，撰写时不需保留。</w:t>
      </w:r>
    </w:p>
    <w:p>
      <w:pPr>
        <w:pStyle w:val="170"/>
        <w:numPr>
          <w:ilvl w:val="2"/>
          <w:numId w:val="15"/>
        </w:numPr>
        <w:tabs>
          <w:tab w:val="left" w:pos="963"/>
        </w:tabs>
        <w:spacing w:before="160" w:line="333" w:lineRule="auto"/>
        <w:ind w:left="0" w:firstLine="559"/>
        <w:rPr>
          <w:rFonts w:ascii="宋体" w:hAnsi="宋体" w:eastAsia="宋体"/>
          <w:sz w:val="28"/>
          <w:lang w:eastAsia="zh-CN"/>
        </w:rPr>
      </w:pPr>
      <w:r>
        <w:rPr>
          <w:rFonts w:hint="eastAsia" w:ascii="宋体" w:hAnsi="宋体" w:eastAsia="宋体"/>
          <w:spacing w:val="-11"/>
          <w:sz w:val="28"/>
          <w:lang w:eastAsia="zh-CN"/>
        </w:rPr>
        <w:t>方案以问题清单为主线，以问题原因分析、整改措施和保障条件为主体，有明确的预期目</w:t>
      </w:r>
      <w:r>
        <w:rPr>
          <w:rFonts w:hint="eastAsia" w:ascii="宋体" w:hAnsi="宋体" w:eastAsia="宋体"/>
          <w:sz w:val="28"/>
          <w:lang w:eastAsia="zh-CN"/>
        </w:rPr>
        <w:t>标。</w:t>
      </w:r>
    </w:p>
    <w:p>
      <w:pPr>
        <w:pStyle w:val="170"/>
        <w:numPr>
          <w:ilvl w:val="2"/>
          <w:numId w:val="15"/>
        </w:numPr>
        <w:tabs>
          <w:tab w:val="left" w:pos="963"/>
        </w:tabs>
        <w:spacing w:before="160" w:line="333" w:lineRule="auto"/>
        <w:ind w:left="0" w:firstLine="559"/>
        <w:rPr>
          <w:rFonts w:ascii="宋体" w:hAnsi="宋体" w:eastAsia="宋体"/>
          <w:spacing w:val="-11"/>
          <w:sz w:val="28"/>
          <w:lang w:eastAsia="zh-CN"/>
        </w:rPr>
      </w:pPr>
      <w:r>
        <w:rPr>
          <w:rFonts w:hint="eastAsia" w:ascii="宋体" w:hAnsi="宋体" w:eastAsia="宋体"/>
          <w:spacing w:val="-11"/>
          <w:sz w:val="28"/>
          <w:lang w:eastAsia="zh-CN"/>
        </w:rPr>
        <w:t>方案应紧扣主题，不讲虚话、套话。总字数控制在</w:t>
      </w:r>
      <w:r>
        <w:rPr>
          <w:rFonts w:ascii="宋体" w:hAnsi="宋体" w:eastAsia="宋体"/>
          <w:spacing w:val="-11"/>
          <w:sz w:val="28"/>
          <w:lang w:eastAsia="zh-CN"/>
        </w:rPr>
        <w:t>8000</w:t>
      </w:r>
      <w:r>
        <w:rPr>
          <w:rFonts w:hint="eastAsia" w:ascii="宋体" w:hAnsi="宋体" w:eastAsia="宋体"/>
          <w:spacing w:val="-11"/>
          <w:sz w:val="28"/>
          <w:lang w:eastAsia="zh-CN"/>
        </w:rPr>
        <w:t>字以内（不含规定文字字数，不含附录），总字数可在各部分中自行调节，建议的分章控制字数供参考。</w:t>
      </w:r>
    </w:p>
    <w:p/>
    <w:p>
      <w:pPr>
        <w:spacing w:line="333" w:lineRule="auto"/>
        <w:rPr>
          <w:rFonts w:ascii="宋体"/>
          <w:sz w:val="28"/>
        </w:rPr>
      </w:pPr>
    </w:p>
    <w:p>
      <w:pPr>
        <w:spacing w:line="333" w:lineRule="auto"/>
        <w:rPr>
          <w:rFonts w:ascii="宋体"/>
          <w:sz w:val="28"/>
        </w:rPr>
      </w:pPr>
    </w:p>
    <w:p>
      <w:pPr>
        <w:spacing w:line="333" w:lineRule="auto"/>
        <w:rPr>
          <w:rFonts w:ascii="宋体"/>
          <w:sz w:val="28"/>
        </w:rPr>
        <w:sectPr>
          <w:pgSz w:w="11910" w:h="16840"/>
          <w:pgMar w:top="1580" w:right="1400" w:bottom="1420" w:left="1680" w:header="0" w:footer="1231" w:gutter="0"/>
          <w:cols w:space="720" w:num="1"/>
        </w:sectPr>
      </w:pPr>
    </w:p>
    <w:p>
      <w:pPr>
        <w:pStyle w:val="2"/>
        <w:rPr>
          <w:sz w:val="20"/>
        </w:rPr>
      </w:pPr>
    </w:p>
    <w:p>
      <w:pPr>
        <w:pStyle w:val="2"/>
        <w:spacing w:before="4"/>
        <w:rPr>
          <w:sz w:val="19"/>
        </w:rPr>
      </w:pPr>
    </w:p>
    <w:p>
      <w:pPr>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本科教育教学审核评估整改方案</w:t>
      </w:r>
    </w:p>
    <w:p>
      <w:pPr>
        <w:ind w:firstLine="560" w:firstLineChars="200"/>
        <w:rPr>
          <w:rFonts w:ascii="黑体" w:hAnsi="黑体" w:eastAsia="黑体"/>
          <w:sz w:val="28"/>
          <w:szCs w:val="28"/>
        </w:rPr>
      </w:pPr>
    </w:p>
    <w:p>
      <w:pPr>
        <w:adjustRightInd w:val="0"/>
        <w:spacing w:line="440" w:lineRule="exact"/>
        <w:ind w:firstLine="560" w:firstLineChars="200"/>
        <w:rPr>
          <w:rFonts w:ascii="黑体" w:hAnsi="黑体" w:eastAsia="黑体"/>
          <w:sz w:val="28"/>
          <w:szCs w:val="28"/>
        </w:rPr>
      </w:pPr>
      <w:r>
        <w:rPr>
          <w:rFonts w:ascii="黑体" w:hAnsi="黑体" w:eastAsia="黑体"/>
          <w:sz w:val="28"/>
          <w:szCs w:val="28"/>
        </w:rPr>
        <w:t>1.</w:t>
      </w:r>
      <w:r>
        <w:rPr>
          <w:rFonts w:hint="eastAsia" w:ascii="黑体" w:hAnsi="黑体" w:eastAsia="黑体"/>
          <w:sz w:val="28"/>
          <w:szCs w:val="28"/>
        </w:rPr>
        <w:t>方案编制简况</w:t>
      </w:r>
    </w:p>
    <w:p>
      <w:pPr>
        <w:pStyle w:val="2"/>
        <w:adjustRightInd w:val="0"/>
        <w:spacing w:line="44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⑴说明学校申请审核评估的时间（</w:t>
      </w:r>
      <w:r>
        <w:rPr>
          <w:rFonts w:hint="eastAsia" w:ascii="宋体" w:hAnsi="宋体" w:eastAsia="宋体" w:cs="宋体"/>
          <w:spacing w:val="1"/>
          <w:sz w:val="28"/>
          <w:szCs w:val="28"/>
        </w:rPr>
        <w:t>年、月</w:t>
      </w:r>
      <w:r>
        <w:rPr>
          <w:rFonts w:hint="eastAsia" w:ascii="宋体" w:hAnsi="宋体" w:eastAsia="宋体" w:cs="宋体"/>
          <w:spacing w:val="-142"/>
          <w:sz w:val="28"/>
          <w:szCs w:val="28"/>
        </w:rPr>
        <w:t>）</w:t>
      </w:r>
      <w:r>
        <w:rPr>
          <w:rFonts w:hint="eastAsia" w:ascii="宋体" w:hAnsi="宋体" w:eastAsia="宋体" w:cs="宋体"/>
          <w:spacing w:val="-2"/>
          <w:sz w:val="28"/>
          <w:szCs w:val="28"/>
        </w:rPr>
        <w:t>，学校接受专家组入</w:t>
      </w:r>
      <w:r>
        <w:rPr>
          <w:rFonts w:hint="eastAsia" w:ascii="宋体" w:hAnsi="宋体" w:eastAsia="宋体" w:cs="宋体"/>
          <w:spacing w:val="-1"/>
          <w:sz w:val="28"/>
          <w:szCs w:val="28"/>
        </w:rPr>
        <w:t>校评估的时间</w:t>
      </w:r>
      <w:r>
        <w:rPr>
          <w:rFonts w:hint="eastAsia" w:ascii="宋体" w:hAnsi="宋体" w:eastAsia="宋体" w:cs="宋体"/>
          <w:spacing w:val="-3"/>
          <w:sz w:val="28"/>
          <w:szCs w:val="28"/>
        </w:rPr>
        <w:t>（年、月</w:t>
      </w:r>
      <w:r>
        <w:rPr>
          <w:rFonts w:ascii="宋体" w:hAnsi="宋体" w:eastAsia="宋体" w:cs="宋体"/>
          <w:spacing w:val="-3"/>
          <w:sz w:val="28"/>
          <w:szCs w:val="28"/>
        </w:rPr>
        <w:t>-</w:t>
      </w:r>
      <w:r>
        <w:rPr>
          <w:rFonts w:hint="eastAsia" w:ascii="宋体" w:hAnsi="宋体" w:eastAsia="宋体" w:cs="宋体"/>
          <w:spacing w:val="-3"/>
          <w:sz w:val="28"/>
          <w:szCs w:val="28"/>
        </w:rPr>
        <w:t>年、月</w:t>
      </w:r>
      <w:r>
        <w:rPr>
          <w:rFonts w:hint="eastAsia" w:ascii="宋体" w:hAnsi="宋体" w:eastAsia="宋体" w:cs="宋体"/>
          <w:spacing w:val="-140"/>
          <w:sz w:val="28"/>
          <w:szCs w:val="28"/>
        </w:rPr>
        <w:t>）</w:t>
      </w:r>
      <w:r>
        <w:rPr>
          <w:rFonts w:hint="eastAsia" w:ascii="宋体" w:hAnsi="宋体" w:eastAsia="宋体" w:cs="宋体"/>
          <w:sz w:val="28"/>
          <w:szCs w:val="28"/>
        </w:rPr>
        <w:t>。</w:t>
      </w:r>
    </w:p>
    <w:p>
      <w:pPr>
        <w:pStyle w:val="2"/>
        <w:adjustRightInd w:val="0"/>
        <w:spacing w:line="44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⑵本方案编制的主持部门、过程、批准方式。</w:t>
      </w:r>
    </w:p>
    <w:p>
      <w:pPr>
        <w:adjustRightInd w:val="0"/>
        <w:spacing w:line="440" w:lineRule="exact"/>
        <w:ind w:firstLine="560" w:firstLineChars="200"/>
        <w:rPr>
          <w:rFonts w:ascii="黑体" w:hAnsi="黑体" w:eastAsia="黑体"/>
          <w:sz w:val="28"/>
          <w:szCs w:val="28"/>
        </w:rPr>
      </w:pPr>
      <w:r>
        <w:rPr>
          <w:rFonts w:ascii="黑体" w:hAnsi="黑体" w:eastAsia="黑体"/>
          <w:sz w:val="28"/>
          <w:szCs w:val="28"/>
        </w:rPr>
        <w:t>2.</w:t>
      </w:r>
      <w:r>
        <w:rPr>
          <w:rFonts w:hint="eastAsia" w:ascii="黑体" w:hAnsi="黑体" w:eastAsia="黑体"/>
          <w:sz w:val="28"/>
          <w:szCs w:val="28"/>
        </w:rPr>
        <w:t>问题清单</w:t>
      </w:r>
    </w:p>
    <w:p>
      <w:pPr>
        <w:pStyle w:val="2"/>
        <w:adjustRightInd w:val="0"/>
        <w:spacing w:line="440" w:lineRule="exact"/>
        <w:ind w:firstLine="548" w:firstLineChars="200"/>
        <w:jc w:val="both"/>
        <w:rPr>
          <w:rFonts w:ascii="宋体" w:hAnsi="宋体" w:eastAsia="宋体" w:cs="宋体"/>
          <w:spacing w:val="-3"/>
          <w:sz w:val="28"/>
          <w:szCs w:val="28"/>
        </w:rPr>
      </w:pPr>
      <w:r>
        <w:rPr>
          <w:rFonts w:hint="eastAsia" w:ascii="宋体" w:hAnsi="宋体" w:eastAsia="宋体" w:cs="宋体"/>
          <w:spacing w:val="-3"/>
          <w:sz w:val="28"/>
          <w:szCs w:val="28"/>
        </w:rPr>
        <w:t>⑴自评报告、审核评估报告以及专家个别交流意见提出的问题应全部列入清单，按照审核评估指标中审核重点的顺序逐项罗列。专业认证中专家提出的问题尚未整改的也应一并列入问题清单。</w:t>
      </w:r>
    </w:p>
    <w:p>
      <w:pPr>
        <w:pStyle w:val="2"/>
        <w:adjustRightInd w:val="0"/>
        <w:spacing w:line="440" w:lineRule="exact"/>
        <w:ind w:firstLine="548" w:firstLineChars="200"/>
        <w:jc w:val="both"/>
        <w:rPr>
          <w:rFonts w:ascii="宋体" w:hAnsi="宋体" w:eastAsia="宋体" w:cs="宋体"/>
          <w:spacing w:val="-3"/>
          <w:sz w:val="28"/>
          <w:szCs w:val="28"/>
        </w:rPr>
      </w:pPr>
      <w:r>
        <w:rPr>
          <w:rFonts w:hint="eastAsia" w:ascii="宋体" w:hAnsi="宋体" w:eastAsia="宋体" w:cs="宋体"/>
          <w:spacing w:val="-3"/>
          <w:sz w:val="28"/>
          <w:szCs w:val="28"/>
        </w:rPr>
        <w:t>⑵对清单中的问题，如学校经分析不予列入整改问题清单的，应专列附录逐项说明理由。</w:t>
      </w:r>
    </w:p>
    <w:p>
      <w:pPr>
        <w:pStyle w:val="2"/>
        <w:adjustRightInd w:val="0"/>
        <w:spacing w:line="440" w:lineRule="exact"/>
        <w:ind w:firstLine="548" w:firstLineChars="200"/>
        <w:jc w:val="both"/>
        <w:rPr>
          <w:rFonts w:ascii="宋体" w:hAnsi="宋体" w:eastAsia="宋体" w:cs="宋体"/>
          <w:spacing w:val="-3"/>
          <w:sz w:val="28"/>
          <w:szCs w:val="28"/>
        </w:rPr>
      </w:pPr>
      <w:r>
        <w:rPr>
          <w:rFonts w:hint="eastAsia" w:ascii="宋体" w:hAnsi="宋体" w:eastAsia="宋体" w:cs="宋体"/>
          <w:spacing w:val="-3"/>
          <w:sz w:val="28"/>
          <w:szCs w:val="28"/>
        </w:rPr>
        <w:t>⑶清单中每项问题，包含但不限于如下内容：</w:t>
      </w:r>
    </w:p>
    <w:p>
      <w:pPr>
        <w:pStyle w:val="2"/>
        <w:adjustRightInd w:val="0"/>
        <w:spacing w:line="440" w:lineRule="exact"/>
        <w:ind w:firstLine="548" w:firstLineChars="200"/>
        <w:jc w:val="both"/>
        <w:rPr>
          <w:rFonts w:ascii="宋体" w:hAnsi="宋体" w:eastAsia="宋体" w:cs="宋体"/>
          <w:spacing w:val="-3"/>
          <w:sz w:val="28"/>
          <w:szCs w:val="28"/>
        </w:rPr>
      </w:pPr>
      <w:r>
        <w:rPr>
          <w:rFonts w:ascii="宋体" w:hAnsi="宋体" w:eastAsia="宋体" w:cs="宋体"/>
          <w:spacing w:val="-3"/>
          <w:sz w:val="28"/>
          <w:szCs w:val="28"/>
        </w:rPr>
        <w:fldChar w:fldCharType="begin"/>
      </w:r>
      <w:r>
        <w:rPr>
          <w:rFonts w:ascii="宋体" w:hAnsi="宋体" w:eastAsia="宋体" w:cs="宋体"/>
          <w:spacing w:val="-3"/>
          <w:sz w:val="28"/>
          <w:szCs w:val="28"/>
        </w:rPr>
        <w:instrText xml:space="preserve"> = 1 \* GB3 </w:instrText>
      </w:r>
      <w:r>
        <w:rPr>
          <w:rFonts w:ascii="宋体" w:hAnsi="宋体" w:eastAsia="宋体" w:cs="宋体"/>
          <w:spacing w:val="-3"/>
          <w:sz w:val="28"/>
          <w:szCs w:val="28"/>
        </w:rPr>
        <w:fldChar w:fldCharType="separate"/>
      </w:r>
      <w:r>
        <w:rPr>
          <w:rFonts w:hint="eastAsia" w:ascii="宋体" w:hAnsi="宋体" w:eastAsia="宋体" w:cs="宋体"/>
          <w:spacing w:val="-3"/>
          <w:sz w:val="28"/>
          <w:szCs w:val="28"/>
        </w:rPr>
        <w:t>①</w:t>
      </w:r>
      <w:r>
        <w:rPr>
          <w:rFonts w:ascii="宋体" w:hAnsi="宋体" w:eastAsia="宋体" w:cs="宋体"/>
          <w:spacing w:val="-3"/>
          <w:sz w:val="28"/>
          <w:szCs w:val="28"/>
        </w:rPr>
        <w:fldChar w:fldCharType="end"/>
      </w:r>
      <w:r>
        <w:rPr>
          <w:rFonts w:hint="eastAsia" w:ascii="宋体" w:hAnsi="宋体" w:eastAsia="宋体" w:cs="宋体"/>
          <w:spacing w:val="-3"/>
          <w:sz w:val="28"/>
          <w:szCs w:val="28"/>
        </w:rPr>
        <w:t>问题顺序号及对应的审核指标及审核重点序号；</w:t>
      </w:r>
    </w:p>
    <w:p>
      <w:pPr>
        <w:pStyle w:val="2"/>
        <w:adjustRightInd w:val="0"/>
        <w:spacing w:line="440" w:lineRule="exact"/>
        <w:ind w:firstLine="548" w:firstLineChars="200"/>
        <w:jc w:val="both"/>
      </w:pPr>
      <w:r>
        <w:rPr>
          <w:rFonts w:hint="eastAsia" w:ascii="宋体" w:hAnsi="宋体" w:eastAsia="宋体" w:cs="宋体"/>
          <w:spacing w:val="-3"/>
          <w:sz w:val="28"/>
          <w:szCs w:val="28"/>
        </w:rPr>
        <w:t>②问题来源（如自评报告、审核评估报告、专家个别意见、专业认证或其他）。</w:t>
      </w:r>
    </w:p>
    <w:p>
      <w:pPr>
        <w:spacing w:before="87"/>
        <w:jc w:val="center"/>
        <w:rPr>
          <w:sz w:val="24"/>
        </w:rPr>
      </w:pPr>
      <w:r>
        <w:rPr>
          <w:rFonts w:hint="eastAsia"/>
          <w:sz w:val="24"/>
        </w:rPr>
        <w:t>问题清单表（参考格式）</w:t>
      </w:r>
    </w:p>
    <w:p>
      <w:pPr>
        <w:pStyle w:val="2"/>
        <w:spacing w:before="1"/>
        <w:rPr>
          <w:sz w:val="16"/>
        </w:rPr>
      </w:pPr>
    </w:p>
    <w:tbl>
      <w:tblPr>
        <w:tblStyle w:val="88"/>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6"/>
        <w:gridCol w:w="1366"/>
        <w:gridCol w:w="1418"/>
        <w:gridCol w:w="1985"/>
        <w:gridCol w:w="1416"/>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56" w:type="dxa"/>
            <w:vMerge w:val="restart"/>
          </w:tcPr>
          <w:p>
            <w:pPr>
              <w:pStyle w:val="270"/>
              <w:spacing w:before="52"/>
              <w:rPr>
                <w:rFonts w:ascii="宋体" w:eastAsia="宋体"/>
                <w:sz w:val="24"/>
              </w:rPr>
            </w:pPr>
            <w:r>
              <w:rPr>
                <w:rFonts w:hint="eastAsia" w:ascii="宋体" w:eastAsia="宋体"/>
                <w:sz w:val="24"/>
              </w:rPr>
              <w:t>问题</w:t>
            </w:r>
          </w:p>
          <w:p>
            <w:pPr>
              <w:pStyle w:val="270"/>
              <w:spacing w:before="98"/>
              <w:rPr>
                <w:rFonts w:ascii="宋体" w:eastAsia="宋体"/>
                <w:sz w:val="24"/>
              </w:rPr>
            </w:pPr>
            <w:r>
              <w:rPr>
                <w:rFonts w:hint="eastAsia" w:ascii="宋体" w:eastAsia="宋体"/>
                <w:sz w:val="24"/>
              </w:rPr>
              <w:t>序号</w:t>
            </w:r>
          </w:p>
        </w:tc>
        <w:tc>
          <w:tcPr>
            <w:tcW w:w="2784" w:type="dxa"/>
            <w:gridSpan w:val="2"/>
          </w:tcPr>
          <w:p>
            <w:pPr>
              <w:pStyle w:val="270"/>
              <w:spacing w:before="47"/>
              <w:rPr>
                <w:rFonts w:ascii="宋体" w:eastAsia="宋体"/>
                <w:sz w:val="24"/>
              </w:rPr>
            </w:pPr>
            <w:r>
              <w:rPr>
                <w:rFonts w:hint="eastAsia" w:ascii="宋体" w:eastAsia="宋体"/>
                <w:sz w:val="24"/>
              </w:rPr>
              <w:t>对应审核指标</w:t>
            </w:r>
          </w:p>
        </w:tc>
        <w:tc>
          <w:tcPr>
            <w:tcW w:w="1985" w:type="dxa"/>
            <w:vMerge w:val="restart"/>
          </w:tcPr>
          <w:p>
            <w:pPr>
              <w:pStyle w:val="270"/>
              <w:spacing w:before="10"/>
              <w:rPr>
                <w:rFonts w:ascii="宋体"/>
                <w:sz w:val="19"/>
              </w:rPr>
            </w:pPr>
          </w:p>
          <w:p>
            <w:pPr>
              <w:pStyle w:val="270"/>
              <w:rPr>
                <w:rFonts w:ascii="宋体" w:eastAsia="宋体"/>
                <w:sz w:val="24"/>
              </w:rPr>
            </w:pPr>
            <w:r>
              <w:rPr>
                <w:rFonts w:hint="eastAsia" w:ascii="宋体" w:eastAsia="宋体"/>
                <w:sz w:val="24"/>
              </w:rPr>
              <w:t>问题简明表述</w:t>
            </w:r>
          </w:p>
        </w:tc>
        <w:tc>
          <w:tcPr>
            <w:tcW w:w="1416" w:type="dxa"/>
            <w:vMerge w:val="restart"/>
          </w:tcPr>
          <w:p>
            <w:pPr>
              <w:pStyle w:val="270"/>
              <w:spacing w:before="10"/>
              <w:rPr>
                <w:rFonts w:ascii="宋体"/>
                <w:sz w:val="19"/>
              </w:rPr>
            </w:pPr>
          </w:p>
          <w:p>
            <w:pPr>
              <w:pStyle w:val="270"/>
              <w:rPr>
                <w:rFonts w:ascii="宋体" w:eastAsia="宋体"/>
                <w:sz w:val="24"/>
              </w:rPr>
            </w:pPr>
            <w:r>
              <w:rPr>
                <w:rFonts w:hint="eastAsia" w:ascii="宋体" w:eastAsia="宋体"/>
                <w:sz w:val="24"/>
              </w:rPr>
              <w:t>问题来源</w:t>
            </w:r>
          </w:p>
        </w:tc>
        <w:tc>
          <w:tcPr>
            <w:tcW w:w="1357" w:type="dxa"/>
            <w:vMerge w:val="restart"/>
          </w:tcPr>
          <w:p>
            <w:pPr>
              <w:pStyle w:val="270"/>
              <w:spacing w:before="52"/>
              <w:jc w:val="center"/>
              <w:rPr>
                <w:rFonts w:ascii="宋体" w:eastAsia="宋体"/>
                <w:sz w:val="24"/>
              </w:rPr>
            </w:pPr>
            <w:r>
              <w:rPr>
                <w:rFonts w:hint="eastAsia" w:ascii="宋体" w:eastAsia="宋体"/>
                <w:sz w:val="24"/>
              </w:rPr>
              <w:t>是否纳入</w:t>
            </w:r>
          </w:p>
          <w:p>
            <w:pPr>
              <w:pStyle w:val="270"/>
              <w:spacing w:before="98"/>
              <w:jc w:val="center"/>
              <w:rPr>
                <w:rFonts w:ascii="宋体" w:eastAsia="宋体"/>
                <w:sz w:val="24"/>
              </w:rPr>
            </w:pPr>
            <w:r>
              <w:rPr>
                <w:rFonts w:hint="eastAsia" w:ascii="宋体" w:eastAsia="宋体"/>
                <w:sz w:val="24"/>
              </w:rPr>
              <w:t>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56" w:type="dxa"/>
            <w:vMerge w:val="continue"/>
            <w:tcBorders>
              <w:top w:val="nil"/>
            </w:tcBorders>
          </w:tcPr>
          <w:p>
            <w:pPr>
              <w:rPr>
                <w:sz w:val="2"/>
                <w:szCs w:val="2"/>
              </w:rPr>
            </w:pPr>
          </w:p>
        </w:tc>
        <w:tc>
          <w:tcPr>
            <w:tcW w:w="1366" w:type="dxa"/>
          </w:tcPr>
          <w:p>
            <w:pPr>
              <w:pStyle w:val="270"/>
              <w:spacing w:before="47"/>
              <w:rPr>
                <w:rFonts w:ascii="宋体" w:eastAsia="宋体"/>
                <w:sz w:val="24"/>
              </w:rPr>
            </w:pPr>
            <w:r>
              <w:rPr>
                <w:rFonts w:hint="eastAsia" w:ascii="宋体" w:eastAsia="宋体"/>
                <w:sz w:val="24"/>
              </w:rPr>
              <w:t>一级指标</w:t>
            </w:r>
          </w:p>
        </w:tc>
        <w:tc>
          <w:tcPr>
            <w:tcW w:w="1418" w:type="dxa"/>
          </w:tcPr>
          <w:p>
            <w:pPr>
              <w:pStyle w:val="270"/>
              <w:spacing w:before="47"/>
              <w:rPr>
                <w:rFonts w:ascii="宋体" w:eastAsia="宋体"/>
                <w:sz w:val="24"/>
              </w:rPr>
            </w:pPr>
            <w:r>
              <w:rPr>
                <w:rFonts w:hint="eastAsia" w:ascii="宋体" w:eastAsia="宋体"/>
                <w:sz w:val="24"/>
              </w:rPr>
              <w:t>二级指标</w:t>
            </w:r>
          </w:p>
        </w:tc>
        <w:tc>
          <w:tcPr>
            <w:tcW w:w="1985"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35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756" w:type="dxa"/>
          </w:tcPr>
          <w:p>
            <w:pPr>
              <w:pStyle w:val="270"/>
              <w:rPr>
                <w:rFonts w:ascii="Times New Roman"/>
                <w:sz w:val="26"/>
              </w:rPr>
            </w:pPr>
          </w:p>
        </w:tc>
        <w:tc>
          <w:tcPr>
            <w:tcW w:w="1366" w:type="dxa"/>
          </w:tcPr>
          <w:p>
            <w:pPr>
              <w:pStyle w:val="270"/>
              <w:rPr>
                <w:rFonts w:ascii="Times New Roman"/>
                <w:sz w:val="26"/>
              </w:rPr>
            </w:pPr>
          </w:p>
        </w:tc>
        <w:tc>
          <w:tcPr>
            <w:tcW w:w="1418" w:type="dxa"/>
          </w:tcPr>
          <w:p>
            <w:pPr>
              <w:pStyle w:val="270"/>
              <w:rPr>
                <w:rFonts w:ascii="Times New Roman"/>
                <w:sz w:val="26"/>
              </w:rPr>
            </w:pPr>
          </w:p>
        </w:tc>
        <w:tc>
          <w:tcPr>
            <w:tcW w:w="1985" w:type="dxa"/>
          </w:tcPr>
          <w:p>
            <w:pPr>
              <w:pStyle w:val="270"/>
              <w:rPr>
                <w:rFonts w:ascii="Times New Roman"/>
                <w:sz w:val="26"/>
              </w:rPr>
            </w:pPr>
          </w:p>
        </w:tc>
        <w:tc>
          <w:tcPr>
            <w:tcW w:w="1416" w:type="dxa"/>
          </w:tcPr>
          <w:p>
            <w:pPr>
              <w:pStyle w:val="270"/>
              <w:rPr>
                <w:rFonts w:ascii="Times New Roman"/>
                <w:sz w:val="26"/>
              </w:rPr>
            </w:pPr>
          </w:p>
        </w:tc>
        <w:tc>
          <w:tcPr>
            <w:tcW w:w="1357" w:type="dxa"/>
          </w:tcPr>
          <w:p>
            <w:pPr>
              <w:pStyle w:val="270"/>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756" w:type="dxa"/>
          </w:tcPr>
          <w:p>
            <w:pPr>
              <w:pStyle w:val="270"/>
              <w:rPr>
                <w:rFonts w:ascii="Times New Roman"/>
                <w:sz w:val="26"/>
              </w:rPr>
            </w:pPr>
          </w:p>
        </w:tc>
        <w:tc>
          <w:tcPr>
            <w:tcW w:w="1366" w:type="dxa"/>
          </w:tcPr>
          <w:p>
            <w:pPr>
              <w:pStyle w:val="270"/>
              <w:rPr>
                <w:rFonts w:ascii="Times New Roman"/>
                <w:sz w:val="26"/>
              </w:rPr>
            </w:pPr>
          </w:p>
        </w:tc>
        <w:tc>
          <w:tcPr>
            <w:tcW w:w="1418" w:type="dxa"/>
          </w:tcPr>
          <w:p>
            <w:pPr>
              <w:pStyle w:val="270"/>
              <w:rPr>
                <w:rFonts w:ascii="Times New Roman"/>
                <w:sz w:val="26"/>
              </w:rPr>
            </w:pPr>
          </w:p>
        </w:tc>
        <w:tc>
          <w:tcPr>
            <w:tcW w:w="1985" w:type="dxa"/>
          </w:tcPr>
          <w:p>
            <w:pPr>
              <w:pStyle w:val="270"/>
              <w:rPr>
                <w:rFonts w:ascii="Times New Roman"/>
                <w:sz w:val="26"/>
              </w:rPr>
            </w:pPr>
          </w:p>
        </w:tc>
        <w:tc>
          <w:tcPr>
            <w:tcW w:w="1416" w:type="dxa"/>
          </w:tcPr>
          <w:p>
            <w:pPr>
              <w:pStyle w:val="270"/>
              <w:rPr>
                <w:rFonts w:ascii="Times New Roman"/>
                <w:sz w:val="26"/>
              </w:rPr>
            </w:pPr>
          </w:p>
        </w:tc>
        <w:tc>
          <w:tcPr>
            <w:tcW w:w="1357" w:type="dxa"/>
          </w:tcPr>
          <w:p>
            <w:pPr>
              <w:pStyle w:val="270"/>
              <w:rPr>
                <w:rFonts w:ascii="Times New Roman"/>
                <w:sz w:val="26"/>
              </w:rPr>
            </w:pPr>
          </w:p>
        </w:tc>
      </w:tr>
    </w:tbl>
    <w:p>
      <w:pPr>
        <w:ind w:left="105" w:leftChars="50" w:firstLine="456" w:firstLineChars="200"/>
        <w:rPr>
          <w:rFonts w:ascii="仿宋" w:hAnsi="仿宋" w:eastAsia="仿宋"/>
          <w:sz w:val="24"/>
        </w:rPr>
      </w:pPr>
      <w:r>
        <w:rPr>
          <w:rFonts w:hint="eastAsia" w:ascii="仿宋" w:hAnsi="仿宋" w:eastAsia="仿宋"/>
          <w:spacing w:val="-6"/>
          <w:sz w:val="24"/>
        </w:rPr>
        <w:t>说明：</w:t>
      </w:r>
      <w:r>
        <w:rPr>
          <w:rFonts w:ascii="仿宋" w:hAnsi="仿宋" w:eastAsia="仿宋"/>
          <w:spacing w:val="-17"/>
          <w:sz w:val="24"/>
        </w:rPr>
        <w:fldChar w:fldCharType="begin"/>
      </w:r>
      <w:r>
        <w:rPr>
          <w:rFonts w:ascii="仿宋" w:hAnsi="仿宋" w:eastAsia="仿宋"/>
          <w:spacing w:val="-17"/>
          <w:sz w:val="24"/>
        </w:rPr>
        <w:instrText xml:space="preserve"> = 1 \* GB3 </w:instrText>
      </w:r>
      <w:r>
        <w:rPr>
          <w:rFonts w:ascii="仿宋" w:hAnsi="仿宋" w:eastAsia="仿宋"/>
          <w:spacing w:val="-17"/>
          <w:sz w:val="24"/>
        </w:rPr>
        <w:fldChar w:fldCharType="separate"/>
      </w:r>
      <w:r>
        <w:rPr>
          <w:rFonts w:hint="eastAsia" w:ascii="仿宋" w:hAnsi="仿宋" w:eastAsia="仿宋"/>
          <w:spacing w:val="-17"/>
          <w:sz w:val="24"/>
        </w:rPr>
        <w:t>①</w:t>
      </w:r>
      <w:r>
        <w:rPr>
          <w:rFonts w:ascii="仿宋" w:hAnsi="仿宋" w:eastAsia="仿宋"/>
          <w:spacing w:val="-17"/>
          <w:sz w:val="24"/>
        </w:rPr>
        <w:fldChar w:fldCharType="end"/>
      </w:r>
      <w:r>
        <w:rPr>
          <w:rFonts w:hint="eastAsia" w:ascii="仿宋" w:hAnsi="仿宋" w:eastAsia="仿宋"/>
          <w:spacing w:val="-4"/>
          <w:sz w:val="24"/>
        </w:rPr>
        <w:t>当有部分问题不符合学校实际或者理念观点不对，不拟纳入整改问题清</w:t>
      </w:r>
      <w:r>
        <w:rPr>
          <w:rFonts w:hint="eastAsia" w:ascii="仿宋" w:hAnsi="仿宋" w:eastAsia="仿宋"/>
          <w:spacing w:val="-7"/>
          <w:sz w:val="24"/>
        </w:rPr>
        <w:t>单时，可在“是否纳入整项”中标注“否”，并予以说明。</w:t>
      </w:r>
    </w:p>
    <w:p>
      <w:pPr>
        <w:tabs>
          <w:tab w:val="left" w:pos="1201"/>
        </w:tabs>
        <w:ind w:firstLine="1130" w:firstLineChars="500"/>
        <w:rPr>
          <w:rFonts w:ascii="仿宋" w:hAnsi="仿宋" w:eastAsia="仿宋"/>
          <w:spacing w:val="-7"/>
          <w:sz w:val="24"/>
        </w:rPr>
      </w:pPr>
      <w:r>
        <w:rPr>
          <w:rFonts w:ascii="仿宋" w:hAnsi="仿宋" w:eastAsia="仿宋"/>
          <w:spacing w:val="-7"/>
          <w:sz w:val="24"/>
        </w:rPr>
        <w:fldChar w:fldCharType="begin"/>
      </w:r>
      <w:r>
        <w:rPr>
          <w:rFonts w:ascii="仿宋" w:hAnsi="仿宋" w:eastAsia="仿宋"/>
          <w:spacing w:val="-7"/>
          <w:sz w:val="24"/>
        </w:rPr>
        <w:instrText xml:space="preserve"> = 2 \* GB3 </w:instrText>
      </w:r>
      <w:r>
        <w:rPr>
          <w:rFonts w:ascii="仿宋" w:hAnsi="仿宋" w:eastAsia="仿宋"/>
          <w:spacing w:val="-7"/>
          <w:sz w:val="24"/>
        </w:rPr>
        <w:fldChar w:fldCharType="separate"/>
      </w:r>
      <w:r>
        <w:rPr>
          <w:rFonts w:hint="eastAsia" w:ascii="仿宋" w:hAnsi="仿宋" w:eastAsia="仿宋"/>
          <w:spacing w:val="-7"/>
          <w:sz w:val="24"/>
        </w:rPr>
        <w:t>②</w:t>
      </w:r>
      <w:r>
        <w:rPr>
          <w:rFonts w:ascii="仿宋" w:hAnsi="仿宋" w:eastAsia="仿宋"/>
          <w:spacing w:val="-7"/>
          <w:sz w:val="24"/>
        </w:rPr>
        <w:fldChar w:fldCharType="end"/>
      </w:r>
      <w:r>
        <w:rPr>
          <w:rFonts w:hint="eastAsia" w:ascii="仿宋" w:hAnsi="仿宋" w:eastAsia="仿宋"/>
          <w:spacing w:val="-7"/>
          <w:sz w:val="24"/>
        </w:rPr>
        <w:t>问题序号的前后排列应与审核指标、审核序号点的前后排列一致。</w:t>
      </w:r>
    </w:p>
    <w:p>
      <w:pPr>
        <w:pStyle w:val="2"/>
        <w:spacing w:before="3"/>
        <w:jc w:val="both"/>
        <w:rPr>
          <w:sz w:val="24"/>
        </w:rPr>
      </w:pPr>
    </w:p>
    <w:p>
      <w:pPr>
        <w:spacing w:line="440" w:lineRule="exact"/>
        <w:ind w:firstLine="560" w:firstLineChars="200"/>
        <w:rPr>
          <w:sz w:val="30"/>
        </w:rPr>
      </w:pPr>
      <w:r>
        <w:rPr>
          <w:rFonts w:ascii="黑体" w:hAnsi="黑体" w:eastAsia="黑体"/>
          <w:sz w:val="28"/>
          <w:szCs w:val="28"/>
        </w:rPr>
        <w:t>3.</w:t>
      </w:r>
      <w:r>
        <w:rPr>
          <w:rFonts w:hint="eastAsia" w:ascii="黑体" w:hAnsi="黑体" w:eastAsia="黑体"/>
          <w:sz w:val="28"/>
          <w:szCs w:val="28"/>
        </w:rPr>
        <w:t>整改措施、保障条件、分工、进度安排和成效预期</w:t>
      </w:r>
    </w:p>
    <w:p>
      <w:pPr>
        <w:pStyle w:val="2"/>
        <w:spacing w:line="440" w:lineRule="exact"/>
        <w:ind w:firstLine="548" w:firstLineChars="200"/>
        <w:jc w:val="both"/>
        <w:rPr>
          <w:rFonts w:ascii="宋体" w:hAnsi="宋体" w:eastAsia="宋体" w:cs="宋体"/>
          <w:spacing w:val="-3"/>
          <w:sz w:val="28"/>
          <w:szCs w:val="28"/>
        </w:rPr>
      </w:pPr>
      <w:r>
        <w:rPr>
          <w:rFonts w:hint="eastAsia" w:ascii="宋体" w:hAnsi="宋体" w:eastAsia="宋体" w:cs="宋体"/>
          <w:spacing w:val="-3"/>
          <w:sz w:val="28"/>
          <w:szCs w:val="28"/>
        </w:rPr>
        <w:t>按问题清单顺序，逐项撰写。每项包含但不限于以下内容：</w:t>
      </w:r>
    </w:p>
    <w:p>
      <w:pPr>
        <w:pStyle w:val="2"/>
        <w:adjustRightInd w:val="0"/>
        <w:spacing w:line="440" w:lineRule="exact"/>
        <w:ind w:firstLine="548" w:firstLineChars="200"/>
        <w:jc w:val="both"/>
        <w:rPr>
          <w:rFonts w:ascii="宋体" w:hAnsi="宋体" w:eastAsia="宋体" w:cs="宋体"/>
          <w:spacing w:val="-3"/>
          <w:sz w:val="28"/>
          <w:szCs w:val="28"/>
        </w:rPr>
      </w:pPr>
      <w:r>
        <w:rPr>
          <w:rFonts w:hint="eastAsia" w:ascii="宋体" w:hAnsi="宋体" w:eastAsia="宋体" w:cs="宋体"/>
          <w:spacing w:val="-3"/>
          <w:sz w:val="28"/>
          <w:szCs w:val="28"/>
        </w:rPr>
        <w:t>①简要分析问题存在的原因（如主观认识、组织方式、落实责任、客观条件、资源配置、政策限制等）；</w:t>
      </w:r>
    </w:p>
    <w:p>
      <w:pPr>
        <w:spacing w:line="440" w:lineRule="exact"/>
        <w:ind w:firstLine="560" w:firstLineChars="200"/>
        <w:rPr>
          <w:sz w:val="28"/>
          <w:szCs w:val="28"/>
        </w:rPr>
      </w:pPr>
      <w:r>
        <w:rPr>
          <w:rFonts w:hint="eastAsia"/>
          <w:sz w:val="28"/>
          <w:szCs w:val="28"/>
        </w:rPr>
        <w:t>②拟采取的整改措施和保障条件（如拟深入调研分析及拟采用的方法，拟建立或施行的政策、制度、标准、项目，拟调整或建立的机构、专业、课程或教学环节、流程，拟投入的人力资源、资金、设备、场地等）；</w:t>
      </w:r>
    </w:p>
    <w:p>
      <w:pPr>
        <w:spacing w:line="440" w:lineRule="exact"/>
        <w:ind w:firstLine="560" w:firstLineChars="200"/>
        <w:rPr>
          <w:sz w:val="28"/>
          <w:szCs w:val="28"/>
        </w:rPr>
      </w:pPr>
      <w:r>
        <w:rPr>
          <w:rFonts w:hint="eastAsia"/>
          <w:sz w:val="28"/>
          <w:szCs w:val="28"/>
        </w:rPr>
        <w:t>③该问题整改的校内责任单位和主要责任人，当牵涉多个单位时，应明确牵头单位和牵头负责人、参与单位和责任人，明确各单位的主要分工任务；当问题分解为若干子问题时，可依子问题分解责任单位和主要责任人；</w:t>
      </w:r>
    </w:p>
    <w:p>
      <w:pPr>
        <w:ind w:firstLine="560"/>
        <w:rPr>
          <w:sz w:val="28"/>
          <w:szCs w:val="28"/>
        </w:rPr>
      </w:pPr>
      <w:r>
        <w:rPr>
          <w:rFonts w:hint="eastAsia"/>
          <w:sz w:val="28"/>
          <w:szCs w:val="28"/>
        </w:rPr>
        <w:t>④该问题整改的进度安排，对中期自查前拟推进或落实的整改措施，建议有明确的年度或月份，对中期自查后安排推进或落实的整改措施，可在中期自查后制定具体进度安排；</w:t>
      </w:r>
    </w:p>
    <w:p>
      <w:pPr>
        <w:ind w:firstLine="560"/>
        <w:rPr>
          <w:sz w:val="28"/>
          <w:szCs w:val="28"/>
        </w:rPr>
      </w:pPr>
      <w:r>
        <w:rPr>
          <w:rFonts w:hint="eastAsia"/>
          <w:sz w:val="28"/>
          <w:szCs w:val="28"/>
        </w:rPr>
        <w:t>⑤该问题的整改成效预期，说明采取整改措施后问题的预期改进程度、可能取得的成效；所谓改进程度和可能取得的成效应是可以衡量、检验的，建议提出可具体度量的指标。</w:t>
      </w:r>
    </w:p>
    <w:p>
      <w:pPr>
        <w:spacing w:line="440" w:lineRule="exact"/>
        <w:ind w:firstLine="560" w:firstLineChars="200"/>
        <w:rPr>
          <w:rFonts w:ascii="黑体" w:hAnsi="黑体" w:eastAsia="黑体"/>
          <w:sz w:val="28"/>
          <w:szCs w:val="28"/>
        </w:rPr>
      </w:pPr>
      <w:r>
        <w:rPr>
          <w:rFonts w:ascii="黑体" w:hAnsi="黑体" w:eastAsia="黑体"/>
          <w:sz w:val="28"/>
          <w:szCs w:val="28"/>
        </w:rPr>
        <w:t>4.</w:t>
      </w:r>
      <w:r>
        <w:rPr>
          <w:rFonts w:hint="eastAsia" w:ascii="黑体" w:hAnsi="黑体" w:eastAsia="黑体"/>
          <w:sz w:val="28"/>
          <w:szCs w:val="28"/>
        </w:rPr>
        <w:t>整改工作监控机制</w:t>
      </w:r>
    </w:p>
    <w:p>
      <w:pPr>
        <w:ind w:firstLine="560"/>
        <w:rPr>
          <w:sz w:val="28"/>
          <w:szCs w:val="28"/>
        </w:rPr>
      </w:pPr>
      <w:r>
        <w:rPr>
          <w:rFonts w:hint="eastAsia"/>
          <w:sz w:val="28"/>
          <w:szCs w:val="28"/>
        </w:rPr>
        <w:t>包含但不限于以下内容：</w:t>
      </w:r>
    </w:p>
    <w:p>
      <w:pPr>
        <w:ind w:firstLine="560"/>
        <w:rPr>
          <w:sz w:val="28"/>
          <w:szCs w:val="28"/>
        </w:rPr>
      </w:pPr>
      <w:r>
        <w:rPr>
          <w:rFonts w:hint="eastAsia"/>
          <w:sz w:val="28"/>
          <w:szCs w:val="28"/>
        </w:rPr>
        <w:t>①学校层面的整改监控责任机构和责任人；</w:t>
      </w:r>
    </w:p>
    <w:p>
      <w:pPr>
        <w:ind w:firstLine="560"/>
        <w:rPr>
          <w:sz w:val="28"/>
          <w:szCs w:val="28"/>
        </w:rPr>
      </w:pPr>
      <w:r>
        <w:rPr>
          <w:rFonts w:hint="eastAsia"/>
          <w:sz w:val="28"/>
          <w:szCs w:val="28"/>
        </w:rPr>
        <w:t>②监控工作方法和流程，包括对校内二级单位自我检查的要求；</w:t>
      </w:r>
    </w:p>
    <w:p>
      <w:pPr>
        <w:ind w:firstLine="560"/>
        <w:rPr>
          <w:sz w:val="28"/>
          <w:szCs w:val="28"/>
        </w:rPr>
      </w:pPr>
      <w:r>
        <w:rPr>
          <w:rFonts w:hint="eastAsia"/>
          <w:sz w:val="28"/>
          <w:szCs w:val="28"/>
        </w:rPr>
        <w:t>③监控周期；</w:t>
      </w:r>
    </w:p>
    <w:p>
      <w:pPr>
        <w:ind w:firstLine="560"/>
        <w:rPr>
          <w:sz w:val="28"/>
          <w:szCs w:val="28"/>
        </w:rPr>
      </w:pPr>
      <w:r>
        <w:rPr>
          <w:rFonts w:hint="eastAsia"/>
          <w:sz w:val="28"/>
          <w:szCs w:val="28"/>
        </w:rPr>
        <w:t>④对整改进度的监控规定（如完成、基本完成、进行中、调整、待执行等）和整改方案调整的批准程序；</w:t>
      </w:r>
    </w:p>
    <w:p>
      <w:pPr>
        <w:ind w:firstLine="560"/>
        <w:rPr>
          <w:sz w:val="28"/>
          <w:szCs w:val="28"/>
        </w:rPr>
      </w:pPr>
      <w:r>
        <w:rPr>
          <w:rFonts w:hint="eastAsia"/>
          <w:sz w:val="28"/>
          <w:szCs w:val="28"/>
        </w:rPr>
        <w:t>⑤整改效果（超出预期、达成预期、未达成预期等）检验的评价依据；</w:t>
      </w:r>
    </w:p>
    <w:p>
      <w:pPr>
        <w:ind w:firstLine="560"/>
        <w:rPr>
          <w:sz w:val="28"/>
          <w:szCs w:val="28"/>
        </w:rPr>
      </w:pPr>
      <w:r>
        <w:rPr>
          <w:rFonts w:hint="eastAsia"/>
          <w:sz w:val="28"/>
          <w:szCs w:val="28"/>
        </w:rPr>
        <w:t>⑥结合校内考核等日常工作，纳入审核评估整改落实监控的要求或规定。</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附录建立问题清单的情况说明</w:t>
      </w:r>
    </w:p>
    <w:p>
      <w:pPr>
        <w:ind w:firstLine="560"/>
        <w:rPr>
          <w:sz w:val="28"/>
          <w:szCs w:val="28"/>
        </w:rPr>
      </w:pPr>
      <w:r>
        <w:rPr>
          <w:rFonts w:hint="eastAsia"/>
          <w:sz w:val="28"/>
          <w:szCs w:val="28"/>
        </w:rPr>
        <w:t>⑴学校经分析后认为，自评报告审阅和入校评估考察过程中所提出的某些</w:t>
      </w:r>
      <w:r>
        <w:rPr>
          <w:sz w:val="28"/>
          <w:szCs w:val="28"/>
        </w:rPr>
        <w:t>“</w:t>
      </w:r>
      <w:r>
        <w:rPr>
          <w:rFonts w:hint="eastAsia"/>
          <w:sz w:val="28"/>
          <w:szCs w:val="28"/>
        </w:rPr>
        <w:t>问题</w:t>
      </w:r>
      <w:r>
        <w:rPr>
          <w:sz w:val="28"/>
          <w:szCs w:val="28"/>
        </w:rPr>
        <w:t>”</w:t>
      </w:r>
      <w:r>
        <w:rPr>
          <w:rFonts w:hint="eastAsia"/>
          <w:sz w:val="28"/>
          <w:szCs w:val="28"/>
        </w:rPr>
        <w:t>不予列入整改问题清单的，应逐项说明理由。</w:t>
      </w:r>
    </w:p>
    <w:p>
      <w:pPr>
        <w:ind w:firstLine="560"/>
        <w:rPr>
          <w:sz w:val="28"/>
          <w:szCs w:val="28"/>
        </w:rPr>
      </w:pPr>
      <w:r>
        <w:rPr>
          <w:rFonts w:hint="eastAsia"/>
          <w:sz w:val="28"/>
          <w:szCs w:val="28"/>
        </w:rPr>
        <w:t>⑵需说明的每项问题，包含但不限于如下内容：</w:t>
      </w:r>
    </w:p>
    <w:p>
      <w:pPr>
        <w:ind w:firstLine="560"/>
        <w:rPr>
          <w:sz w:val="28"/>
          <w:szCs w:val="28"/>
        </w:rPr>
      </w:pPr>
      <w:r>
        <w:rPr>
          <w:rFonts w:hint="eastAsia"/>
          <w:sz w:val="28"/>
          <w:szCs w:val="28"/>
        </w:rPr>
        <w:t>①问题顺序号（与正文</w:t>
      </w:r>
      <w:r>
        <w:rPr>
          <w:sz w:val="28"/>
          <w:szCs w:val="28"/>
        </w:rPr>
        <w:t>“</w:t>
      </w:r>
      <w:r>
        <w:rPr>
          <w:rFonts w:hint="eastAsia"/>
          <w:sz w:val="28"/>
          <w:szCs w:val="28"/>
        </w:rPr>
        <w:t>问题清单表</w:t>
      </w:r>
      <w:r>
        <w:rPr>
          <w:sz w:val="28"/>
          <w:szCs w:val="28"/>
        </w:rPr>
        <w:t>”</w:t>
      </w:r>
      <w:r>
        <w:rPr>
          <w:rFonts w:hint="eastAsia"/>
          <w:sz w:val="28"/>
          <w:szCs w:val="28"/>
        </w:rPr>
        <w:t>第</w:t>
      </w:r>
      <w:r>
        <w:rPr>
          <w:sz w:val="28"/>
          <w:szCs w:val="28"/>
        </w:rPr>
        <w:t>1</w:t>
      </w:r>
      <w:r>
        <w:rPr>
          <w:rFonts w:hint="eastAsia"/>
          <w:sz w:val="28"/>
          <w:szCs w:val="28"/>
        </w:rPr>
        <w:t>列序号相同）及问题来源，原问题陈述；</w:t>
      </w:r>
    </w:p>
    <w:p>
      <w:pPr>
        <w:ind w:firstLine="560"/>
        <w:rPr>
          <w:sz w:val="28"/>
          <w:szCs w:val="28"/>
        </w:rPr>
      </w:pPr>
      <w:r>
        <w:rPr>
          <w:rFonts w:hint="eastAsia"/>
          <w:sz w:val="28"/>
          <w:szCs w:val="28"/>
        </w:rPr>
        <w:t>②不予列入整改问题的原因。</w:t>
      </w:r>
    </w:p>
    <w:p>
      <w:pPr>
        <w:ind w:firstLine="560"/>
        <w:rPr>
          <w:sz w:val="28"/>
          <w:szCs w:val="28"/>
        </w:rPr>
      </w:pPr>
      <w:r>
        <w:rPr>
          <w:rFonts w:hint="eastAsia"/>
          <w:sz w:val="28"/>
          <w:szCs w:val="28"/>
        </w:rPr>
        <w:t>⑶当不存在上述情况时，本附录内容填写：无。</w:t>
      </w:r>
    </w:p>
    <w:p>
      <w:pPr>
        <w:ind w:firstLine="560"/>
        <w:rPr>
          <w:sz w:val="28"/>
          <w:szCs w:val="28"/>
        </w:rPr>
        <w:sectPr>
          <w:pgSz w:w="11910" w:h="16840"/>
          <w:pgMar w:top="1500" w:right="1400" w:bottom="1420" w:left="1680" w:header="0" w:footer="1231" w:gutter="0"/>
          <w:cols w:space="720" w:num="1"/>
        </w:sectPr>
      </w:pPr>
    </w:p>
    <w:p>
      <w:pPr>
        <w:pStyle w:val="5"/>
        <w:rPr>
          <w:b w:val="0"/>
          <w:bCs w:val="0"/>
          <w:sz w:val="24"/>
          <w:szCs w:val="24"/>
        </w:rPr>
      </w:pPr>
      <w:bookmarkStart w:id="32" w:name="_Toc124775254"/>
      <w:r>
        <w:rPr>
          <w:rFonts w:hint="eastAsia"/>
          <w:b w:val="0"/>
          <w:bCs w:val="0"/>
          <w:sz w:val="24"/>
          <w:szCs w:val="24"/>
        </w:rPr>
        <w:t>附件</w:t>
      </w:r>
      <w:r>
        <w:rPr>
          <w:b w:val="0"/>
          <w:bCs w:val="0"/>
          <w:sz w:val="24"/>
          <w:szCs w:val="24"/>
        </w:rPr>
        <w:t>5.</w:t>
      </w:r>
      <w:r>
        <w:rPr>
          <w:rFonts w:hint="eastAsia"/>
          <w:b w:val="0"/>
          <w:bCs w:val="0"/>
          <w:sz w:val="24"/>
          <w:szCs w:val="24"/>
        </w:rPr>
        <w:t>《审核评估整改报告》撰写指导</w:t>
      </w:r>
      <w:bookmarkEnd w:id="32"/>
    </w:p>
    <w:p>
      <w:pPr>
        <w:pStyle w:val="2"/>
        <w:rPr>
          <w:rFonts w:ascii="黑体"/>
          <w:sz w:val="32"/>
        </w:rPr>
      </w:pPr>
    </w:p>
    <w:p>
      <w:pPr>
        <w:pStyle w:val="2"/>
        <w:rPr>
          <w:rFonts w:ascii="黑体"/>
          <w:sz w:val="32"/>
        </w:rPr>
      </w:pPr>
    </w:p>
    <w:p>
      <w:pPr>
        <w:pStyle w:val="2"/>
        <w:rPr>
          <w:rFonts w:ascii="黑体"/>
          <w:sz w:val="30"/>
        </w:rPr>
      </w:pPr>
    </w:p>
    <w:p>
      <w:pPr>
        <w:spacing w:before="1" w:line="489" w:lineRule="auto"/>
        <w:jc w:val="center"/>
        <w:rPr>
          <w:rFonts w:ascii="华文中宋" w:eastAsia="华文中宋"/>
          <w:b/>
          <w:sz w:val="44"/>
        </w:rPr>
      </w:pPr>
      <w:r>
        <w:rPr>
          <w:rFonts w:hint="eastAsia" w:ascii="华文中宋" w:eastAsia="华文中宋"/>
          <w:b/>
          <w:w w:val="95"/>
          <w:sz w:val="44"/>
        </w:rPr>
        <w:t>普通高等学校本科教育教学审核评估</w:t>
      </w:r>
      <w:r>
        <w:rPr>
          <w:rFonts w:hint="eastAsia" w:ascii="华文中宋" w:eastAsia="华文中宋"/>
          <w:b/>
          <w:sz w:val="44"/>
        </w:rPr>
        <w:t>整改报告</w:t>
      </w:r>
    </w:p>
    <w:p>
      <w:pPr>
        <w:spacing w:line="375" w:lineRule="exact"/>
        <w:jc w:val="center"/>
        <w:rPr>
          <w:rFonts w:ascii="黑体" w:eastAsia="黑体"/>
          <w:sz w:val="32"/>
        </w:rPr>
      </w:pPr>
      <w:r>
        <w:rPr>
          <w:rFonts w:ascii="黑体" w:eastAsia="黑体"/>
          <w:sz w:val="32"/>
        </w:rPr>
        <w:t>&lt;</w:t>
      </w:r>
      <w:r>
        <w:rPr>
          <w:rFonts w:hint="eastAsia" w:ascii="黑体" w:eastAsia="黑体"/>
          <w:sz w:val="32"/>
        </w:rPr>
        <w:t>可以插入学校的</w:t>
      </w:r>
      <w:r>
        <w:rPr>
          <w:rFonts w:ascii="黑体" w:eastAsia="黑体"/>
          <w:sz w:val="32"/>
        </w:rPr>
        <w:t>logo&gt;</w:t>
      </w:r>
    </w:p>
    <w:p>
      <w:pPr>
        <w:pStyle w:val="2"/>
        <w:rPr>
          <w:rFonts w:ascii="黑体"/>
          <w:sz w:val="32"/>
        </w:rPr>
      </w:pPr>
    </w:p>
    <w:p>
      <w:pPr>
        <w:pStyle w:val="2"/>
        <w:rPr>
          <w:rFonts w:ascii="黑体"/>
          <w:sz w:val="32"/>
        </w:rPr>
      </w:pPr>
    </w:p>
    <w:p>
      <w:pPr>
        <w:pStyle w:val="2"/>
        <w:rPr>
          <w:rFonts w:ascii="黑体"/>
          <w:sz w:val="32"/>
        </w:rPr>
      </w:pPr>
    </w:p>
    <w:p>
      <w:pPr>
        <w:pStyle w:val="2"/>
        <w:rPr>
          <w:rFonts w:ascii="黑体"/>
          <w:sz w:val="32"/>
        </w:rPr>
      </w:pPr>
    </w:p>
    <w:p>
      <w:pPr>
        <w:pStyle w:val="2"/>
        <w:rPr>
          <w:rFonts w:ascii="黑体"/>
          <w:sz w:val="32"/>
        </w:rPr>
      </w:pPr>
    </w:p>
    <w:p>
      <w:pPr>
        <w:pStyle w:val="2"/>
        <w:rPr>
          <w:rFonts w:ascii="黑体"/>
          <w:sz w:val="32"/>
        </w:rPr>
      </w:pPr>
    </w:p>
    <w:tbl>
      <w:tblPr>
        <w:tblStyle w:val="88"/>
        <w:tblW w:w="0" w:type="auto"/>
        <w:tblInd w:w="-108" w:type="dxa"/>
        <w:tblLayout w:type="fixed"/>
        <w:tblCellMar>
          <w:top w:w="0" w:type="dxa"/>
          <w:left w:w="108" w:type="dxa"/>
          <w:bottom w:w="0" w:type="dxa"/>
          <w:right w:w="108" w:type="dxa"/>
        </w:tblCellMar>
      </w:tblPr>
      <w:tblGrid>
        <w:gridCol w:w="3256"/>
        <w:gridCol w:w="5564"/>
      </w:tblGrid>
      <w:tr>
        <w:tblPrEx>
          <w:tblCellMar>
            <w:top w:w="0" w:type="dxa"/>
            <w:left w:w="108" w:type="dxa"/>
            <w:bottom w:w="0" w:type="dxa"/>
            <w:right w:w="108" w:type="dxa"/>
          </w:tblCellMar>
        </w:tblPrEx>
        <w:tc>
          <w:tcPr>
            <w:tcW w:w="3256" w:type="dxa"/>
          </w:tcPr>
          <w:p>
            <w:pPr>
              <w:pStyle w:val="2"/>
              <w:spacing w:line="480" w:lineRule="auto"/>
              <w:jc w:val="right"/>
              <w:rPr>
                <w:rFonts w:ascii="黑体"/>
                <w:kern w:val="2"/>
                <w:sz w:val="32"/>
                <w:szCs w:val="22"/>
              </w:rPr>
            </w:pPr>
            <w:r>
              <w:rPr>
                <w:rFonts w:hint="eastAsia" w:ascii="黑体"/>
                <w:kern w:val="2"/>
                <w:sz w:val="32"/>
                <w:szCs w:val="22"/>
              </w:rPr>
              <w:t>学校名称（公章）：</w:t>
            </w:r>
          </w:p>
          <w:p>
            <w:pPr>
              <w:pStyle w:val="2"/>
              <w:spacing w:line="480" w:lineRule="auto"/>
              <w:jc w:val="right"/>
              <w:rPr>
                <w:rFonts w:ascii="黑体"/>
                <w:spacing w:val="-4"/>
                <w:kern w:val="2"/>
                <w:sz w:val="32"/>
                <w:szCs w:val="22"/>
              </w:rPr>
            </w:pPr>
            <w:r>
              <w:rPr>
                <w:rFonts w:hint="eastAsia" w:ascii="黑体"/>
                <w:kern w:val="2"/>
                <w:sz w:val="32"/>
                <w:szCs w:val="22"/>
              </w:rPr>
              <w:t>学校联系人：</w:t>
            </w:r>
          </w:p>
          <w:p>
            <w:pPr>
              <w:pStyle w:val="2"/>
              <w:spacing w:line="480" w:lineRule="auto"/>
              <w:jc w:val="right"/>
              <w:rPr>
                <w:rFonts w:ascii="黑体"/>
                <w:spacing w:val="-4"/>
                <w:kern w:val="2"/>
                <w:sz w:val="32"/>
                <w:szCs w:val="22"/>
              </w:rPr>
            </w:pPr>
            <w:r>
              <w:rPr>
                <w:rFonts w:hint="eastAsia" w:ascii="黑体"/>
                <w:spacing w:val="-4"/>
                <w:kern w:val="2"/>
                <w:sz w:val="32"/>
                <w:szCs w:val="22"/>
              </w:rPr>
              <w:t>联系电话：</w:t>
            </w:r>
          </w:p>
          <w:p>
            <w:pPr>
              <w:pStyle w:val="2"/>
              <w:spacing w:line="480" w:lineRule="auto"/>
              <w:jc w:val="right"/>
              <w:rPr>
                <w:rFonts w:ascii="黑体"/>
                <w:spacing w:val="-4"/>
                <w:kern w:val="2"/>
                <w:sz w:val="32"/>
                <w:szCs w:val="22"/>
              </w:rPr>
            </w:pPr>
            <w:r>
              <w:rPr>
                <w:rFonts w:hint="eastAsia" w:ascii="黑体"/>
                <w:spacing w:val="-4"/>
                <w:kern w:val="2"/>
                <w:sz w:val="32"/>
                <w:szCs w:val="22"/>
              </w:rPr>
              <w:t>联系邮箱：</w:t>
            </w:r>
          </w:p>
          <w:p>
            <w:pPr>
              <w:pStyle w:val="2"/>
              <w:spacing w:line="480" w:lineRule="auto"/>
              <w:jc w:val="right"/>
              <w:rPr>
                <w:rFonts w:ascii="黑体"/>
                <w:kern w:val="2"/>
                <w:sz w:val="32"/>
                <w:szCs w:val="22"/>
              </w:rPr>
            </w:pPr>
            <w:r>
              <w:rPr>
                <w:rFonts w:hint="eastAsia" w:ascii="黑体"/>
                <w:kern w:val="2"/>
                <w:sz w:val="32"/>
                <w:szCs w:val="22"/>
              </w:rPr>
              <w:t>学校校长（签字）：</w:t>
            </w:r>
          </w:p>
          <w:p>
            <w:pPr>
              <w:pStyle w:val="2"/>
              <w:spacing w:line="480" w:lineRule="auto"/>
              <w:jc w:val="right"/>
              <w:rPr>
                <w:rFonts w:ascii="黑体"/>
                <w:kern w:val="2"/>
                <w:sz w:val="32"/>
                <w:szCs w:val="22"/>
              </w:rPr>
            </w:pPr>
            <w:r>
              <w:rPr>
                <w:rFonts w:hint="eastAsia" w:ascii="黑体"/>
                <w:kern w:val="2"/>
                <w:sz w:val="32"/>
                <w:szCs w:val="22"/>
              </w:rPr>
              <w:t>提交日期：</w:t>
            </w:r>
          </w:p>
        </w:tc>
        <w:tc>
          <w:tcPr>
            <w:tcW w:w="5564" w:type="dxa"/>
          </w:tcPr>
          <w:p>
            <w:pPr>
              <w:pStyle w:val="2"/>
              <w:rPr>
                <w:rFonts w:ascii="黑体"/>
                <w:kern w:val="2"/>
                <w:sz w:val="32"/>
                <w:szCs w:val="22"/>
              </w:rPr>
            </w:pPr>
          </w:p>
        </w:tc>
      </w:tr>
    </w:tbl>
    <w:p>
      <w:pPr>
        <w:spacing w:before="27"/>
        <w:jc w:val="center"/>
        <w:rPr>
          <w:rFonts w:ascii="黑体" w:eastAsia="黑体"/>
          <w:sz w:val="32"/>
        </w:rPr>
      </w:pPr>
    </w:p>
    <w:p>
      <w:pPr>
        <w:spacing w:before="27"/>
        <w:jc w:val="center"/>
        <w:rPr>
          <w:rFonts w:ascii="黑体" w:eastAsia="黑体"/>
          <w:sz w:val="32"/>
        </w:rPr>
      </w:pPr>
    </w:p>
    <w:p>
      <w:pPr>
        <w:spacing w:before="27"/>
        <w:jc w:val="center"/>
        <w:rPr>
          <w:rFonts w:ascii="黑体" w:eastAsia="黑体"/>
          <w:sz w:val="32"/>
        </w:rPr>
      </w:pPr>
    </w:p>
    <w:p>
      <w:pPr>
        <w:spacing w:before="27"/>
        <w:jc w:val="center"/>
        <w:rPr>
          <w:rFonts w:ascii="黑体" w:eastAsia="黑体"/>
          <w:sz w:val="32"/>
        </w:rPr>
      </w:pPr>
    </w:p>
    <w:p>
      <w:pPr>
        <w:spacing w:before="27"/>
        <w:jc w:val="center"/>
        <w:rPr>
          <w:rFonts w:ascii="黑体" w:eastAsia="黑体"/>
          <w:sz w:val="32"/>
        </w:rPr>
      </w:pPr>
    </w:p>
    <w:p>
      <w:pPr>
        <w:spacing w:before="27"/>
        <w:jc w:val="center"/>
        <w:rPr>
          <w:rFonts w:ascii="黑体" w:eastAsia="黑体"/>
          <w:sz w:val="32"/>
        </w:rPr>
      </w:pPr>
    </w:p>
    <w:p>
      <w:pPr>
        <w:spacing w:before="27"/>
        <w:jc w:val="center"/>
        <w:rPr>
          <w:rFonts w:ascii="黑体" w:eastAsia="黑体"/>
          <w:sz w:val="32"/>
        </w:rPr>
      </w:pPr>
      <w:r>
        <w:rPr>
          <w:rFonts w:hint="eastAsia" w:ascii="黑体" w:eastAsia="黑体"/>
          <w:sz w:val="32"/>
        </w:rPr>
        <w:t>撰写说明</w:t>
      </w:r>
    </w:p>
    <w:p>
      <w:pPr>
        <w:pStyle w:val="2"/>
        <w:rPr>
          <w:rFonts w:ascii="黑体"/>
          <w:sz w:val="32"/>
        </w:rPr>
      </w:pPr>
    </w:p>
    <w:p>
      <w:pPr>
        <w:pStyle w:val="170"/>
        <w:numPr>
          <w:ilvl w:val="0"/>
          <w:numId w:val="16"/>
        </w:numPr>
        <w:tabs>
          <w:tab w:val="left" w:pos="968"/>
        </w:tabs>
        <w:spacing w:before="287" w:line="333" w:lineRule="auto"/>
        <w:ind w:left="0" w:firstLine="559"/>
        <w:rPr>
          <w:rFonts w:ascii="宋体" w:hAnsi="宋体" w:eastAsia="宋体"/>
          <w:sz w:val="28"/>
          <w:lang w:eastAsia="zh-CN"/>
        </w:rPr>
      </w:pPr>
      <w:r>
        <w:rPr>
          <w:rFonts w:hint="eastAsia" w:ascii="宋体" w:hAnsi="宋体" w:eastAsia="宋体"/>
          <w:spacing w:val="3"/>
          <w:sz w:val="28"/>
          <w:lang w:eastAsia="zh-CN"/>
        </w:rPr>
        <w:t>整改报告的时间是从审核评估结束到完成评估整改工作的时</w:t>
      </w:r>
      <w:r>
        <w:rPr>
          <w:rFonts w:hint="eastAsia" w:ascii="宋体" w:hAnsi="宋体" w:eastAsia="宋体"/>
          <w:sz w:val="28"/>
          <w:lang w:eastAsia="zh-CN"/>
        </w:rPr>
        <w:t>间。</w:t>
      </w:r>
    </w:p>
    <w:p>
      <w:pPr>
        <w:pStyle w:val="170"/>
        <w:numPr>
          <w:ilvl w:val="0"/>
          <w:numId w:val="16"/>
        </w:numPr>
        <w:tabs>
          <w:tab w:val="left" w:pos="963"/>
        </w:tabs>
        <w:spacing w:before="160" w:line="333" w:lineRule="auto"/>
        <w:ind w:left="0" w:firstLine="559"/>
        <w:rPr>
          <w:rFonts w:ascii="宋体" w:hAnsi="宋体" w:eastAsia="宋体"/>
          <w:sz w:val="28"/>
          <w:lang w:eastAsia="zh-CN"/>
        </w:rPr>
      </w:pPr>
      <w:r>
        <w:rPr>
          <w:rFonts w:hint="eastAsia" w:ascii="宋体" w:hAnsi="宋体" w:eastAsia="宋体"/>
          <w:spacing w:val="-10"/>
          <w:sz w:val="28"/>
          <w:lang w:eastAsia="zh-CN"/>
        </w:rPr>
        <w:t>学校应该以审核评估整改方案为依据，重点对审核评估提出的</w:t>
      </w:r>
      <w:r>
        <w:rPr>
          <w:rFonts w:hint="eastAsia" w:ascii="宋体" w:hAnsi="宋体" w:eastAsia="宋体"/>
          <w:spacing w:val="-1"/>
          <w:sz w:val="28"/>
          <w:lang w:eastAsia="zh-CN"/>
        </w:rPr>
        <w:t>问题进行回应。</w:t>
      </w:r>
    </w:p>
    <w:p>
      <w:pPr>
        <w:pStyle w:val="170"/>
        <w:numPr>
          <w:ilvl w:val="0"/>
          <w:numId w:val="16"/>
        </w:numPr>
        <w:tabs>
          <w:tab w:val="left" w:pos="963"/>
        </w:tabs>
        <w:spacing w:before="158" w:line="336" w:lineRule="auto"/>
        <w:ind w:left="0" w:firstLine="559"/>
        <w:rPr>
          <w:rFonts w:ascii="宋体" w:hAnsi="宋体" w:eastAsia="宋体"/>
          <w:sz w:val="28"/>
          <w:lang w:eastAsia="zh-CN"/>
        </w:rPr>
      </w:pPr>
      <w:r>
        <w:rPr>
          <w:rFonts w:hint="eastAsia" w:ascii="宋体" w:hAnsi="宋体" w:eastAsia="宋体"/>
          <w:spacing w:val="-9"/>
          <w:sz w:val="28"/>
          <w:lang w:eastAsia="zh-CN"/>
        </w:rPr>
        <w:t>格式文本中的黑体字体为规定内容，撰写时予以保留；其他字</w:t>
      </w:r>
      <w:r>
        <w:rPr>
          <w:rFonts w:hint="eastAsia" w:ascii="宋体" w:hAnsi="宋体" w:eastAsia="宋体"/>
          <w:spacing w:val="-3"/>
          <w:sz w:val="28"/>
          <w:lang w:eastAsia="zh-CN"/>
        </w:rPr>
        <w:t>体为提示参考，撰写时不需保留。</w:t>
      </w:r>
    </w:p>
    <w:p>
      <w:pPr>
        <w:pStyle w:val="170"/>
        <w:numPr>
          <w:ilvl w:val="0"/>
          <w:numId w:val="16"/>
        </w:numPr>
        <w:tabs>
          <w:tab w:val="left" w:pos="963"/>
        </w:tabs>
        <w:spacing w:before="152" w:line="333" w:lineRule="auto"/>
        <w:ind w:left="0" w:firstLine="559"/>
        <w:rPr>
          <w:rFonts w:ascii="宋体" w:hAnsi="宋体" w:eastAsia="宋体"/>
          <w:sz w:val="28"/>
          <w:lang w:eastAsia="zh-CN"/>
        </w:rPr>
      </w:pPr>
      <w:r>
        <w:rPr>
          <w:rFonts w:hint="eastAsia" w:ascii="宋体" w:hAnsi="宋体" w:eastAsia="宋体"/>
          <w:spacing w:val="-17"/>
          <w:sz w:val="28"/>
          <w:lang w:eastAsia="zh-CN"/>
        </w:rPr>
        <w:t>报告应紧扣主题，总字数不超过</w:t>
      </w:r>
      <w:r>
        <w:rPr>
          <w:rFonts w:ascii="宋体" w:hAnsi="宋体" w:eastAsia="宋体"/>
          <w:sz w:val="28"/>
          <w:lang w:eastAsia="zh-CN"/>
        </w:rPr>
        <w:t>10000</w:t>
      </w:r>
      <w:r>
        <w:rPr>
          <w:rFonts w:hint="eastAsia" w:ascii="宋体" w:hAnsi="宋体" w:eastAsia="宋体"/>
          <w:spacing w:val="-90"/>
          <w:sz w:val="28"/>
          <w:lang w:eastAsia="zh-CN"/>
        </w:rPr>
        <w:t>字</w:t>
      </w:r>
      <w:r>
        <w:rPr>
          <w:rFonts w:hint="eastAsia" w:ascii="宋体" w:hAnsi="宋体" w:eastAsia="宋体"/>
          <w:sz w:val="28"/>
          <w:lang w:eastAsia="zh-CN"/>
        </w:rPr>
        <w:t>（</w:t>
      </w:r>
      <w:r>
        <w:rPr>
          <w:rFonts w:hint="eastAsia" w:ascii="宋体" w:hAnsi="宋体" w:eastAsia="宋体"/>
          <w:spacing w:val="-3"/>
          <w:sz w:val="28"/>
          <w:lang w:eastAsia="zh-CN"/>
        </w:rPr>
        <w:t>不</w:t>
      </w:r>
      <w:r>
        <w:rPr>
          <w:rFonts w:hint="eastAsia" w:ascii="宋体" w:hAnsi="宋体" w:eastAsia="宋体"/>
          <w:sz w:val="28"/>
          <w:lang w:eastAsia="zh-CN"/>
        </w:rPr>
        <w:t>含规定文字字数，不含附录），总字数可在各部分中自行调节，建议的分章控制字数供参考。</w:t>
      </w:r>
    </w:p>
    <w:p>
      <w:pPr>
        <w:spacing w:line="333" w:lineRule="auto"/>
        <w:rPr>
          <w:rFonts w:ascii="宋体"/>
          <w:sz w:val="28"/>
        </w:rPr>
        <w:sectPr>
          <w:pgSz w:w="11910" w:h="16840"/>
          <w:pgMar w:top="1500" w:right="1400" w:bottom="1420" w:left="1680" w:header="0" w:footer="1231" w:gutter="0"/>
          <w:cols w:space="720" w:num="1"/>
        </w:sectPr>
      </w:pPr>
    </w:p>
    <w:p>
      <w:pPr>
        <w:pStyle w:val="2"/>
        <w:rPr>
          <w:sz w:val="20"/>
        </w:rPr>
      </w:pPr>
    </w:p>
    <w:p>
      <w:pPr>
        <w:pStyle w:val="2"/>
        <w:spacing w:before="4"/>
        <w:rPr>
          <w:sz w:val="19"/>
        </w:rPr>
      </w:pP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本科教育教学审核评估整改报告</w:t>
      </w:r>
    </w:p>
    <w:p/>
    <w:p>
      <w:pPr>
        <w:spacing w:line="580" w:lineRule="exact"/>
        <w:ind w:firstLine="560" w:firstLineChars="200"/>
        <w:rPr>
          <w:rFonts w:ascii="黑体" w:hAnsi="黑体" w:eastAsia="黑体"/>
          <w:sz w:val="28"/>
          <w:szCs w:val="28"/>
        </w:rPr>
      </w:pPr>
      <w:r>
        <w:rPr>
          <w:rFonts w:ascii="黑体" w:hAnsi="黑体" w:eastAsia="黑体"/>
          <w:sz w:val="28"/>
          <w:szCs w:val="28"/>
        </w:rPr>
        <w:t>1.</w:t>
      </w:r>
      <w:r>
        <w:rPr>
          <w:rFonts w:hint="eastAsia" w:ascii="黑体" w:hAnsi="黑体" w:eastAsia="黑体"/>
          <w:sz w:val="28"/>
          <w:szCs w:val="28"/>
        </w:rPr>
        <w:t>整改工作总体安排情况（不超过</w:t>
      </w:r>
      <w:r>
        <w:rPr>
          <w:rFonts w:ascii="黑体" w:hAnsi="黑体" w:eastAsia="黑体"/>
          <w:sz w:val="28"/>
          <w:szCs w:val="28"/>
        </w:rPr>
        <w:t>2000</w:t>
      </w:r>
      <w:r>
        <w:rPr>
          <w:rFonts w:hint="eastAsia" w:ascii="黑体" w:hAnsi="黑体" w:eastAsia="黑体"/>
          <w:sz w:val="28"/>
          <w:szCs w:val="28"/>
        </w:rPr>
        <w:t>字）</w:t>
      </w:r>
    </w:p>
    <w:p>
      <w:pPr>
        <w:spacing w:line="580" w:lineRule="exact"/>
        <w:ind w:firstLine="560"/>
        <w:rPr>
          <w:sz w:val="28"/>
          <w:szCs w:val="28"/>
        </w:rPr>
      </w:pPr>
      <w:r>
        <w:rPr>
          <w:rFonts w:hint="eastAsia"/>
          <w:sz w:val="28"/>
          <w:szCs w:val="28"/>
        </w:rPr>
        <w:t>简要说明学校针对学校自查结果和专家评估结果，开展整改的基本情况。主要包括以下几个方面。</w:t>
      </w:r>
    </w:p>
    <w:p>
      <w:pPr>
        <w:spacing w:line="580" w:lineRule="exact"/>
        <w:ind w:firstLine="560"/>
        <w:rPr>
          <w:sz w:val="28"/>
          <w:szCs w:val="28"/>
        </w:rPr>
      </w:pPr>
      <w:r>
        <w:rPr>
          <w:rFonts w:hint="eastAsia"/>
          <w:sz w:val="28"/>
          <w:szCs w:val="28"/>
        </w:rPr>
        <w:t>⑴整改工作的组织情况</w:t>
      </w:r>
    </w:p>
    <w:p>
      <w:pPr>
        <w:spacing w:line="580" w:lineRule="exact"/>
        <w:ind w:firstLine="560"/>
        <w:rPr>
          <w:sz w:val="28"/>
          <w:szCs w:val="28"/>
        </w:rPr>
      </w:pPr>
      <w:r>
        <w:rPr>
          <w:rFonts w:hint="eastAsia"/>
          <w:sz w:val="28"/>
          <w:szCs w:val="28"/>
        </w:rPr>
        <w:t>简要说明学校层面，院系层面如何针对审核评估自评结果和专家评估结果，组织开展整改。包括学校的总体部署情况，任务分解情况，整改工作机制、督查督办和问责机制等。</w:t>
      </w:r>
    </w:p>
    <w:p>
      <w:pPr>
        <w:spacing w:line="580" w:lineRule="exact"/>
        <w:ind w:firstLine="560"/>
        <w:rPr>
          <w:sz w:val="28"/>
          <w:szCs w:val="28"/>
        </w:rPr>
      </w:pPr>
      <w:r>
        <w:rPr>
          <w:rFonts w:hint="eastAsia"/>
          <w:sz w:val="28"/>
          <w:szCs w:val="28"/>
        </w:rPr>
        <w:t>⑵整改方案的简要概括</w:t>
      </w:r>
    </w:p>
    <w:p>
      <w:pPr>
        <w:spacing w:line="580" w:lineRule="exact"/>
        <w:ind w:firstLine="560" w:firstLineChars="200"/>
        <w:rPr>
          <w:sz w:val="28"/>
          <w:szCs w:val="28"/>
        </w:rPr>
      </w:pPr>
      <w:r>
        <w:rPr>
          <w:rFonts w:hint="eastAsia"/>
          <w:sz w:val="28"/>
          <w:szCs w:val="28"/>
        </w:rPr>
        <w:t>包括整改问题的分析，整改方案的制定。</w:t>
      </w:r>
    </w:p>
    <w:p>
      <w:pPr>
        <w:spacing w:line="580" w:lineRule="exact"/>
        <w:ind w:firstLine="420" w:firstLineChars="200"/>
      </w:pPr>
    </w:p>
    <w:p>
      <w:pPr>
        <w:spacing w:line="580" w:lineRule="exact"/>
        <w:ind w:firstLine="560" w:firstLineChars="200"/>
        <w:rPr>
          <w:rFonts w:ascii="黑体" w:hAnsi="黑体" w:eastAsia="黑体"/>
          <w:sz w:val="28"/>
          <w:szCs w:val="28"/>
        </w:rPr>
      </w:pPr>
      <w:r>
        <w:rPr>
          <w:rFonts w:ascii="黑体" w:hAnsi="黑体" w:eastAsia="黑体"/>
          <w:sz w:val="28"/>
          <w:szCs w:val="28"/>
        </w:rPr>
        <w:t>2.</w:t>
      </w:r>
      <w:r>
        <w:rPr>
          <w:rFonts w:hint="eastAsia" w:ascii="黑体" w:hAnsi="黑体" w:eastAsia="黑体"/>
          <w:sz w:val="28"/>
          <w:szCs w:val="28"/>
        </w:rPr>
        <w:t>审核评估报告指出的问题</w:t>
      </w:r>
    </w:p>
    <w:p>
      <w:pPr>
        <w:spacing w:line="580" w:lineRule="exact"/>
        <w:ind w:firstLine="560" w:firstLineChars="200"/>
        <w:rPr>
          <w:sz w:val="28"/>
          <w:szCs w:val="28"/>
        </w:rPr>
      </w:pPr>
      <w:r>
        <w:rPr>
          <w:rFonts w:hint="eastAsia"/>
          <w:sz w:val="28"/>
          <w:szCs w:val="28"/>
        </w:rPr>
        <w:t>简要说明学校参加审核评估工作的基本情况；审核评估专家组及《审核评估报告》中对学校本科教育教学工作提出的意见和建议，专业认证中专家提出的尚未整改的问题，以及学校在自评中发现的主要问题。列出主要问题清单（附录</w:t>
      </w:r>
      <w:r>
        <w:rPr>
          <w:sz w:val="28"/>
          <w:szCs w:val="28"/>
        </w:rPr>
        <w:t>1</w:t>
      </w:r>
      <w:r>
        <w:rPr>
          <w:rFonts w:hint="eastAsia"/>
          <w:sz w:val="28"/>
          <w:szCs w:val="28"/>
        </w:rPr>
        <w:t>）。</w:t>
      </w:r>
    </w:p>
    <w:p>
      <w:pPr>
        <w:spacing w:line="580" w:lineRule="exact"/>
        <w:ind w:firstLine="560" w:firstLineChars="200"/>
      </w:pPr>
      <w:r>
        <w:rPr>
          <w:rFonts w:ascii="黑体" w:hAnsi="黑体" w:eastAsia="黑体"/>
          <w:sz w:val="28"/>
          <w:szCs w:val="28"/>
        </w:rPr>
        <w:t>3.</w:t>
      </w:r>
      <w:r>
        <w:rPr>
          <w:rFonts w:hint="eastAsia" w:ascii="黑体" w:hAnsi="黑体" w:eastAsia="黑体"/>
          <w:sz w:val="28"/>
          <w:szCs w:val="28"/>
        </w:rPr>
        <w:t>评估整改的落实情况（不少于</w:t>
      </w:r>
      <w:r>
        <w:rPr>
          <w:rFonts w:ascii="黑体" w:hAnsi="黑体" w:eastAsia="黑体"/>
          <w:sz w:val="28"/>
          <w:szCs w:val="28"/>
        </w:rPr>
        <w:t>5500</w:t>
      </w:r>
      <w:r>
        <w:rPr>
          <w:rFonts w:hint="eastAsia" w:ascii="黑体" w:hAnsi="黑体" w:eastAsia="黑体"/>
          <w:sz w:val="28"/>
          <w:szCs w:val="28"/>
        </w:rPr>
        <w:t>字）</w:t>
      </w:r>
    </w:p>
    <w:p>
      <w:pPr>
        <w:spacing w:line="580" w:lineRule="exact"/>
        <w:ind w:firstLine="560"/>
        <w:rPr>
          <w:sz w:val="28"/>
          <w:szCs w:val="28"/>
        </w:rPr>
      </w:pPr>
      <w:r>
        <w:rPr>
          <w:rFonts w:hint="eastAsia"/>
          <w:sz w:val="28"/>
          <w:szCs w:val="28"/>
        </w:rPr>
        <w:t>⑴主要整改措施与保障条件</w:t>
      </w:r>
    </w:p>
    <w:p>
      <w:pPr>
        <w:spacing w:line="580" w:lineRule="exact"/>
        <w:ind w:firstLine="560"/>
        <w:rPr>
          <w:sz w:val="28"/>
          <w:szCs w:val="28"/>
        </w:rPr>
      </w:pPr>
      <w:r>
        <w:rPr>
          <w:rFonts w:hint="eastAsia"/>
          <w:sz w:val="28"/>
          <w:szCs w:val="28"/>
        </w:rPr>
        <w:t>学校整改工作所采取的主要整改措施、保障条件和完成情况。重点说明人才培养质量保障机制建设与落实情况，根据中期自查后对整改方案进行的调整，强化整改举措落实等方面的内容。</w:t>
      </w:r>
    </w:p>
    <w:p>
      <w:pPr>
        <w:spacing w:line="580" w:lineRule="exact"/>
        <w:ind w:firstLine="560"/>
        <w:rPr>
          <w:sz w:val="28"/>
          <w:szCs w:val="28"/>
        </w:rPr>
      </w:pPr>
      <w:r>
        <w:rPr>
          <w:rFonts w:hint="eastAsia"/>
          <w:sz w:val="28"/>
          <w:szCs w:val="28"/>
        </w:rPr>
        <w:t>⑵整改目标达成和整改成效评价</w:t>
      </w:r>
    </w:p>
    <w:p>
      <w:pPr>
        <w:spacing w:line="580" w:lineRule="exact"/>
        <w:ind w:firstLine="560"/>
        <w:rPr>
          <w:sz w:val="28"/>
          <w:szCs w:val="28"/>
        </w:rPr>
      </w:pPr>
      <w:r>
        <w:rPr>
          <w:rFonts w:hint="eastAsia"/>
          <w:sz w:val="28"/>
          <w:szCs w:val="28"/>
        </w:rPr>
        <w:t>对照学校评估整改问题清单和整改目标，总结整改工作的完成情况（附录</w:t>
      </w:r>
      <w:r>
        <w:rPr>
          <w:sz w:val="28"/>
          <w:szCs w:val="28"/>
        </w:rPr>
        <w:t>2</w:t>
      </w:r>
      <w:r>
        <w:rPr>
          <w:rFonts w:hint="eastAsia"/>
          <w:sz w:val="28"/>
          <w:szCs w:val="28"/>
        </w:rPr>
        <w:t>）和评估整改应用于持续改进的实质性效果，关注对标基本办学条件、基本教学管理和基本教学质量等关键办学指标是否得到提升。包括整改问题的解决情况、整改目标的达成情况以及整改措施取得的成效等并提供证据。</w:t>
      </w:r>
    </w:p>
    <w:p>
      <w:pPr>
        <w:spacing w:line="580" w:lineRule="exact"/>
        <w:ind w:firstLine="560" w:firstLineChars="200"/>
        <w:rPr>
          <w:rFonts w:ascii="黑体" w:hAnsi="黑体" w:eastAsia="黑体"/>
          <w:sz w:val="28"/>
          <w:szCs w:val="28"/>
        </w:rPr>
      </w:pPr>
      <w:r>
        <w:rPr>
          <w:rFonts w:ascii="黑体" w:hAnsi="黑体" w:eastAsia="黑体"/>
          <w:sz w:val="28"/>
          <w:szCs w:val="28"/>
        </w:rPr>
        <w:t>4.</w:t>
      </w:r>
      <w:r>
        <w:rPr>
          <w:rFonts w:hint="eastAsia" w:ascii="黑体" w:hAnsi="黑体" w:eastAsia="黑体"/>
          <w:sz w:val="28"/>
          <w:szCs w:val="28"/>
        </w:rPr>
        <w:t>整改工作经验和不足</w:t>
      </w:r>
    </w:p>
    <w:p>
      <w:pPr>
        <w:spacing w:line="580" w:lineRule="exact"/>
        <w:ind w:firstLine="560"/>
        <w:rPr>
          <w:sz w:val="28"/>
          <w:szCs w:val="28"/>
        </w:rPr>
      </w:pPr>
      <w:r>
        <w:rPr>
          <w:rFonts w:hint="eastAsia"/>
          <w:sz w:val="28"/>
          <w:szCs w:val="28"/>
        </w:rPr>
        <w:t>简要说明在整改过程中形成的经验和特色，可示范推广的内容，不足和改进计划。</w:t>
      </w:r>
    </w:p>
    <w:p>
      <w:pPr>
        <w:spacing w:line="580" w:lineRule="exact"/>
        <w:ind w:firstLine="560"/>
        <w:rPr>
          <w:sz w:val="28"/>
          <w:szCs w:val="28"/>
        </w:rPr>
      </w:pPr>
      <w:r>
        <w:rPr>
          <w:rFonts w:hint="eastAsia"/>
          <w:sz w:val="28"/>
          <w:szCs w:val="28"/>
        </w:rPr>
        <w:t>⑴整改工作特色和成效</w:t>
      </w:r>
    </w:p>
    <w:p>
      <w:pPr>
        <w:spacing w:line="580" w:lineRule="exact"/>
        <w:ind w:firstLine="560"/>
        <w:rPr>
          <w:sz w:val="28"/>
          <w:szCs w:val="28"/>
        </w:rPr>
      </w:pPr>
      <w:r>
        <w:rPr>
          <w:rFonts w:hint="eastAsia"/>
          <w:sz w:val="28"/>
          <w:szCs w:val="28"/>
        </w:rPr>
        <w:t>总结学校评估整改工作中的特色措施和做法、取得的整改经验、工作亮点等。</w:t>
      </w:r>
    </w:p>
    <w:p>
      <w:pPr>
        <w:spacing w:line="580" w:lineRule="exact"/>
        <w:ind w:firstLine="560"/>
        <w:rPr>
          <w:sz w:val="28"/>
          <w:szCs w:val="28"/>
        </w:rPr>
      </w:pPr>
      <w:r>
        <w:rPr>
          <w:rFonts w:hint="eastAsia"/>
          <w:sz w:val="28"/>
          <w:szCs w:val="28"/>
        </w:rPr>
        <w:t>⑵整改工作不足和改进计划</w:t>
      </w:r>
    </w:p>
    <w:p>
      <w:pPr>
        <w:spacing w:line="580" w:lineRule="exact"/>
        <w:ind w:firstLine="560"/>
        <w:rPr>
          <w:sz w:val="28"/>
          <w:szCs w:val="28"/>
        </w:rPr>
      </w:pPr>
      <w:r>
        <w:rPr>
          <w:rFonts w:hint="eastAsia"/>
          <w:sz w:val="28"/>
          <w:szCs w:val="28"/>
        </w:rPr>
        <w:t>总结分析学校评估整改工作中存在的不足，对未完成整改目标的部分要重点说明，分析原因。提出后续改进思路和计划等。</w:t>
      </w:r>
    </w:p>
    <w:p>
      <w:pPr>
        <w:spacing w:line="580" w:lineRule="exact"/>
        <w:ind w:firstLine="560"/>
        <w:rPr>
          <w:sz w:val="28"/>
          <w:szCs w:val="28"/>
        </w:rPr>
      </w:pPr>
    </w:p>
    <w:p>
      <w:pPr>
        <w:spacing w:line="580" w:lineRule="exact"/>
      </w:pPr>
    </w:p>
    <w:p>
      <w:pPr>
        <w:spacing w:line="333" w:lineRule="auto"/>
        <w:sectPr>
          <w:pgSz w:w="11910" w:h="16840"/>
          <w:pgMar w:top="1500" w:right="1400" w:bottom="1420" w:left="1680" w:header="0" w:footer="1231" w:gutter="0"/>
          <w:cols w:space="720" w:num="1"/>
        </w:sectPr>
      </w:pPr>
    </w:p>
    <w:p>
      <w:pPr>
        <w:rPr>
          <w:rFonts w:ascii="黑体" w:hAnsi="黑体" w:eastAsia="黑体"/>
          <w:sz w:val="28"/>
          <w:szCs w:val="28"/>
        </w:rPr>
      </w:pPr>
      <w:r>
        <w:rPr>
          <w:rFonts w:hint="eastAsia" w:ascii="黑体" w:hAnsi="黑体" w:eastAsia="黑体"/>
          <w:sz w:val="28"/>
          <w:szCs w:val="28"/>
        </w:rPr>
        <w:t>附录</w:t>
      </w:r>
      <w:r>
        <w:rPr>
          <w:rFonts w:ascii="黑体" w:hAnsi="黑体" w:eastAsia="黑体"/>
          <w:sz w:val="28"/>
          <w:szCs w:val="28"/>
        </w:rPr>
        <w:t>1</w:t>
      </w:r>
      <w:r>
        <w:rPr>
          <w:rFonts w:hint="eastAsia" w:ascii="黑体" w:hAnsi="黑体" w:eastAsia="黑体"/>
          <w:sz w:val="28"/>
          <w:szCs w:val="28"/>
        </w:rPr>
        <w:t>整改问题清单</w:t>
      </w:r>
    </w:p>
    <w:p>
      <w:pPr>
        <w:jc w:val="center"/>
        <w:rPr>
          <w:sz w:val="16"/>
        </w:rPr>
      </w:pPr>
      <w:r>
        <w:rPr>
          <w:rFonts w:hint="eastAsia"/>
          <w:sz w:val="24"/>
        </w:rPr>
        <w:t>问题清单表（参考格式）</w:t>
      </w:r>
    </w:p>
    <w:tbl>
      <w:tblPr>
        <w:tblStyle w:val="88"/>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6"/>
        <w:gridCol w:w="1366"/>
        <w:gridCol w:w="1418"/>
        <w:gridCol w:w="1985"/>
        <w:gridCol w:w="1416"/>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56" w:type="dxa"/>
            <w:vMerge w:val="restart"/>
          </w:tcPr>
          <w:p>
            <w:pPr>
              <w:pStyle w:val="270"/>
              <w:spacing w:before="52"/>
              <w:rPr>
                <w:rFonts w:ascii="宋体" w:eastAsia="宋体"/>
                <w:sz w:val="24"/>
              </w:rPr>
            </w:pPr>
            <w:r>
              <w:rPr>
                <w:rFonts w:hint="eastAsia" w:ascii="宋体" w:eastAsia="宋体"/>
                <w:sz w:val="24"/>
              </w:rPr>
              <w:t>问题</w:t>
            </w:r>
          </w:p>
          <w:p>
            <w:pPr>
              <w:pStyle w:val="270"/>
              <w:spacing w:before="98"/>
              <w:rPr>
                <w:rFonts w:ascii="宋体" w:eastAsia="宋体"/>
                <w:sz w:val="24"/>
              </w:rPr>
            </w:pPr>
            <w:r>
              <w:rPr>
                <w:rFonts w:hint="eastAsia" w:ascii="宋体" w:eastAsia="宋体"/>
                <w:sz w:val="24"/>
              </w:rPr>
              <w:t>序号</w:t>
            </w:r>
          </w:p>
        </w:tc>
        <w:tc>
          <w:tcPr>
            <w:tcW w:w="2784" w:type="dxa"/>
            <w:gridSpan w:val="2"/>
          </w:tcPr>
          <w:p>
            <w:pPr>
              <w:pStyle w:val="270"/>
              <w:spacing w:before="47"/>
              <w:rPr>
                <w:rFonts w:ascii="宋体" w:eastAsia="宋体"/>
                <w:sz w:val="24"/>
              </w:rPr>
            </w:pPr>
            <w:r>
              <w:rPr>
                <w:rFonts w:hint="eastAsia" w:ascii="宋体" w:eastAsia="宋体"/>
                <w:sz w:val="24"/>
              </w:rPr>
              <w:t>对应审核指标</w:t>
            </w:r>
          </w:p>
        </w:tc>
        <w:tc>
          <w:tcPr>
            <w:tcW w:w="1985" w:type="dxa"/>
            <w:vMerge w:val="restart"/>
          </w:tcPr>
          <w:p>
            <w:pPr>
              <w:pStyle w:val="270"/>
              <w:rPr>
                <w:rFonts w:ascii="宋体"/>
                <w:sz w:val="20"/>
              </w:rPr>
            </w:pPr>
          </w:p>
          <w:p>
            <w:pPr>
              <w:pStyle w:val="270"/>
              <w:rPr>
                <w:rFonts w:ascii="宋体" w:eastAsia="宋体"/>
                <w:sz w:val="24"/>
              </w:rPr>
            </w:pPr>
            <w:r>
              <w:rPr>
                <w:rFonts w:hint="eastAsia" w:ascii="宋体" w:eastAsia="宋体"/>
                <w:sz w:val="24"/>
              </w:rPr>
              <w:t>问题简明表述</w:t>
            </w:r>
          </w:p>
        </w:tc>
        <w:tc>
          <w:tcPr>
            <w:tcW w:w="1416" w:type="dxa"/>
            <w:vMerge w:val="restart"/>
          </w:tcPr>
          <w:p>
            <w:pPr>
              <w:pStyle w:val="270"/>
              <w:rPr>
                <w:rFonts w:ascii="宋体"/>
                <w:sz w:val="20"/>
              </w:rPr>
            </w:pPr>
          </w:p>
          <w:p>
            <w:pPr>
              <w:pStyle w:val="270"/>
              <w:rPr>
                <w:rFonts w:ascii="宋体" w:eastAsia="宋体"/>
                <w:sz w:val="24"/>
              </w:rPr>
            </w:pPr>
            <w:r>
              <w:rPr>
                <w:rFonts w:hint="eastAsia" w:ascii="宋体" w:eastAsia="宋体"/>
                <w:sz w:val="24"/>
              </w:rPr>
              <w:t>问题来源</w:t>
            </w:r>
          </w:p>
        </w:tc>
        <w:tc>
          <w:tcPr>
            <w:tcW w:w="1357" w:type="dxa"/>
            <w:vMerge w:val="restart"/>
          </w:tcPr>
          <w:p>
            <w:pPr>
              <w:pStyle w:val="270"/>
              <w:spacing w:before="52"/>
              <w:jc w:val="center"/>
              <w:rPr>
                <w:rFonts w:ascii="宋体" w:eastAsia="宋体"/>
                <w:sz w:val="24"/>
              </w:rPr>
            </w:pPr>
            <w:r>
              <w:rPr>
                <w:rFonts w:hint="eastAsia" w:ascii="宋体" w:eastAsia="宋体"/>
                <w:sz w:val="24"/>
              </w:rPr>
              <w:t>是否纳入</w:t>
            </w:r>
          </w:p>
          <w:p>
            <w:pPr>
              <w:pStyle w:val="270"/>
              <w:spacing w:before="98"/>
              <w:jc w:val="center"/>
              <w:rPr>
                <w:rFonts w:ascii="宋体" w:eastAsia="宋体"/>
                <w:sz w:val="24"/>
              </w:rPr>
            </w:pPr>
            <w:r>
              <w:rPr>
                <w:rFonts w:hint="eastAsia" w:ascii="宋体" w:eastAsia="宋体"/>
                <w:sz w:val="24"/>
              </w:rPr>
              <w:t>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56" w:type="dxa"/>
            <w:vMerge w:val="continue"/>
            <w:tcBorders>
              <w:top w:val="nil"/>
            </w:tcBorders>
          </w:tcPr>
          <w:p>
            <w:pPr>
              <w:rPr>
                <w:sz w:val="2"/>
                <w:szCs w:val="2"/>
              </w:rPr>
            </w:pPr>
          </w:p>
        </w:tc>
        <w:tc>
          <w:tcPr>
            <w:tcW w:w="1366" w:type="dxa"/>
          </w:tcPr>
          <w:p>
            <w:pPr>
              <w:pStyle w:val="270"/>
              <w:spacing w:before="48"/>
              <w:rPr>
                <w:rFonts w:ascii="宋体" w:eastAsia="宋体"/>
                <w:sz w:val="24"/>
              </w:rPr>
            </w:pPr>
            <w:r>
              <w:rPr>
                <w:rFonts w:hint="eastAsia" w:ascii="宋体" w:eastAsia="宋体"/>
                <w:sz w:val="24"/>
              </w:rPr>
              <w:t>一级指标</w:t>
            </w:r>
          </w:p>
        </w:tc>
        <w:tc>
          <w:tcPr>
            <w:tcW w:w="1418" w:type="dxa"/>
          </w:tcPr>
          <w:p>
            <w:pPr>
              <w:pStyle w:val="270"/>
              <w:spacing w:before="48"/>
              <w:rPr>
                <w:rFonts w:ascii="宋体" w:eastAsia="宋体"/>
                <w:sz w:val="24"/>
              </w:rPr>
            </w:pPr>
            <w:r>
              <w:rPr>
                <w:rFonts w:hint="eastAsia" w:ascii="宋体" w:eastAsia="宋体"/>
                <w:sz w:val="24"/>
              </w:rPr>
              <w:t>二级指标</w:t>
            </w:r>
          </w:p>
        </w:tc>
        <w:tc>
          <w:tcPr>
            <w:tcW w:w="1985"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35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56" w:type="dxa"/>
          </w:tcPr>
          <w:p>
            <w:pPr>
              <w:pStyle w:val="270"/>
              <w:rPr>
                <w:rFonts w:ascii="Times New Roman"/>
                <w:sz w:val="24"/>
              </w:rPr>
            </w:pPr>
          </w:p>
        </w:tc>
        <w:tc>
          <w:tcPr>
            <w:tcW w:w="1366" w:type="dxa"/>
          </w:tcPr>
          <w:p>
            <w:pPr>
              <w:pStyle w:val="270"/>
              <w:rPr>
                <w:rFonts w:ascii="Times New Roman"/>
                <w:sz w:val="24"/>
              </w:rPr>
            </w:pPr>
          </w:p>
        </w:tc>
        <w:tc>
          <w:tcPr>
            <w:tcW w:w="1418" w:type="dxa"/>
          </w:tcPr>
          <w:p>
            <w:pPr>
              <w:pStyle w:val="270"/>
              <w:rPr>
                <w:rFonts w:ascii="Times New Roman"/>
                <w:sz w:val="24"/>
              </w:rPr>
            </w:pPr>
          </w:p>
        </w:tc>
        <w:tc>
          <w:tcPr>
            <w:tcW w:w="1985" w:type="dxa"/>
          </w:tcPr>
          <w:p>
            <w:pPr>
              <w:pStyle w:val="270"/>
              <w:rPr>
                <w:rFonts w:ascii="Times New Roman"/>
                <w:sz w:val="24"/>
              </w:rPr>
            </w:pPr>
          </w:p>
        </w:tc>
        <w:tc>
          <w:tcPr>
            <w:tcW w:w="1416" w:type="dxa"/>
          </w:tcPr>
          <w:p>
            <w:pPr>
              <w:pStyle w:val="270"/>
              <w:rPr>
                <w:rFonts w:ascii="Times New Roman"/>
                <w:sz w:val="24"/>
              </w:rPr>
            </w:pPr>
          </w:p>
        </w:tc>
        <w:tc>
          <w:tcPr>
            <w:tcW w:w="1357" w:type="dxa"/>
          </w:tcPr>
          <w:p>
            <w:pPr>
              <w:pStyle w:val="27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756" w:type="dxa"/>
          </w:tcPr>
          <w:p>
            <w:pPr>
              <w:pStyle w:val="270"/>
              <w:rPr>
                <w:rFonts w:ascii="Times New Roman"/>
                <w:sz w:val="24"/>
              </w:rPr>
            </w:pPr>
          </w:p>
        </w:tc>
        <w:tc>
          <w:tcPr>
            <w:tcW w:w="1366" w:type="dxa"/>
          </w:tcPr>
          <w:p>
            <w:pPr>
              <w:pStyle w:val="270"/>
              <w:rPr>
                <w:rFonts w:ascii="Times New Roman"/>
                <w:sz w:val="24"/>
              </w:rPr>
            </w:pPr>
          </w:p>
        </w:tc>
        <w:tc>
          <w:tcPr>
            <w:tcW w:w="1418" w:type="dxa"/>
          </w:tcPr>
          <w:p>
            <w:pPr>
              <w:pStyle w:val="270"/>
              <w:rPr>
                <w:rFonts w:ascii="Times New Roman"/>
                <w:sz w:val="24"/>
              </w:rPr>
            </w:pPr>
          </w:p>
        </w:tc>
        <w:tc>
          <w:tcPr>
            <w:tcW w:w="1985" w:type="dxa"/>
          </w:tcPr>
          <w:p>
            <w:pPr>
              <w:pStyle w:val="270"/>
              <w:rPr>
                <w:rFonts w:ascii="Times New Roman"/>
                <w:sz w:val="24"/>
              </w:rPr>
            </w:pPr>
          </w:p>
        </w:tc>
        <w:tc>
          <w:tcPr>
            <w:tcW w:w="1416" w:type="dxa"/>
          </w:tcPr>
          <w:p>
            <w:pPr>
              <w:pStyle w:val="270"/>
              <w:rPr>
                <w:rFonts w:ascii="Times New Roman"/>
                <w:sz w:val="24"/>
              </w:rPr>
            </w:pPr>
          </w:p>
        </w:tc>
        <w:tc>
          <w:tcPr>
            <w:tcW w:w="1357" w:type="dxa"/>
          </w:tcPr>
          <w:p>
            <w:pPr>
              <w:pStyle w:val="270"/>
              <w:rPr>
                <w:rFonts w:ascii="Times New Roman"/>
                <w:sz w:val="24"/>
              </w:rPr>
            </w:pPr>
          </w:p>
        </w:tc>
      </w:tr>
    </w:tbl>
    <w:p>
      <w:pPr>
        <w:ind w:hanging="960"/>
        <w:rPr>
          <w:rFonts w:ascii="仿宋" w:hAnsi="仿宋" w:eastAsia="仿宋"/>
          <w:sz w:val="24"/>
        </w:rPr>
      </w:pPr>
      <w:r>
        <w:rPr>
          <w:rFonts w:hint="eastAsia" w:ascii="仿宋" w:hAnsi="仿宋" w:eastAsia="仿宋"/>
          <w:sz w:val="24"/>
        </w:rPr>
        <w:t>说明：</w:t>
      </w:r>
      <w:r>
        <w:rPr>
          <w:rFonts w:ascii="仿宋" w:hAnsi="仿宋" w:eastAsia="仿宋"/>
          <w:sz w:val="24"/>
        </w:rPr>
        <w:t>1.</w:t>
      </w:r>
      <w:r>
        <w:rPr>
          <w:rFonts w:hint="eastAsia" w:ascii="仿宋" w:hAnsi="仿宋" w:eastAsia="仿宋"/>
          <w:sz w:val="24"/>
        </w:rPr>
        <w:t>当有部分问题不符合学校实际或者理念观点不对，不拟纳入整改问题清单时，可在“是否纳入整项”中标注“否”，并予以说明。</w:t>
      </w:r>
    </w:p>
    <w:p>
      <w:pPr>
        <w:rPr>
          <w:rFonts w:ascii="仿宋" w:hAnsi="仿宋" w:eastAsia="仿宋"/>
          <w:sz w:val="24"/>
        </w:rPr>
      </w:pPr>
      <w:r>
        <w:rPr>
          <w:rFonts w:ascii="仿宋" w:hAnsi="仿宋" w:eastAsia="仿宋"/>
          <w:sz w:val="24"/>
        </w:rPr>
        <w:t>2.</w:t>
      </w:r>
      <w:r>
        <w:rPr>
          <w:rFonts w:hint="eastAsia" w:ascii="仿宋" w:hAnsi="仿宋" w:eastAsia="仿宋"/>
          <w:sz w:val="24"/>
        </w:rPr>
        <w:t>问题序号的前后排列应与审核指标、审核重点序号点的前后排列一致。</w:t>
      </w:r>
    </w:p>
    <w:p>
      <w:pPr>
        <w:pStyle w:val="2"/>
        <w:spacing w:before="1"/>
        <w:rPr>
          <w:sz w:val="20"/>
        </w:rPr>
      </w:pPr>
    </w:p>
    <w:p>
      <w:r>
        <w:rPr>
          <w:rFonts w:hint="eastAsia" w:ascii="黑体" w:hAnsi="黑体" w:eastAsia="黑体"/>
          <w:sz w:val="28"/>
          <w:szCs w:val="28"/>
        </w:rPr>
        <w:t>附录</w:t>
      </w:r>
      <w:r>
        <w:rPr>
          <w:rFonts w:ascii="黑体" w:hAnsi="黑体" w:eastAsia="黑体"/>
          <w:sz w:val="28"/>
          <w:szCs w:val="28"/>
        </w:rPr>
        <w:t>2</w:t>
      </w:r>
      <w:r>
        <w:rPr>
          <w:rFonts w:hint="eastAsia" w:ascii="黑体" w:hAnsi="黑体" w:eastAsia="黑体"/>
          <w:sz w:val="28"/>
          <w:szCs w:val="28"/>
        </w:rPr>
        <w:t>整改问题完成情况一览表</w:t>
      </w:r>
    </w:p>
    <w:p>
      <w:pPr>
        <w:jc w:val="center"/>
        <w:rPr>
          <w:sz w:val="24"/>
        </w:rPr>
      </w:pPr>
      <w:r>
        <w:rPr>
          <w:rFonts w:hint="eastAsia"/>
          <w:sz w:val="24"/>
        </w:rPr>
        <w:t>问题完成情况（参考格式）</w:t>
      </w:r>
    </w:p>
    <w:tbl>
      <w:tblPr>
        <w:tblStyle w:val="8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2125"/>
        <w:gridCol w:w="3121"/>
        <w:gridCol w:w="22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852" w:type="dxa"/>
          </w:tcPr>
          <w:p>
            <w:pPr>
              <w:pStyle w:val="270"/>
              <w:spacing w:before="48"/>
              <w:rPr>
                <w:rFonts w:ascii="宋体" w:eastAsia="宋体"/>
                <w:sz w:val="24"/>
              </w:rPr>
            </w:pPr>
            <w:r>
              <w:rPr>
                <w:rFonts w:hint="eastAsia" w:ascii="宋体" w:eastAsia="宋体"/>
                <w:sz w:val="24"/>
              </w:rPr>
              <w:t>问题</w:t>
            </w:r>
          </w:p>
          <w:p>
            <w:pPr>
              <w:pStyle w:val="270"/>
              <w:spacing w:before="98"/>
              <w:rPr>
                <w:rFonts w:ascii="宋体" w:eastAsia="宋体"/>
                <w:sz w:val="24"/>
              </w:rPr>
            </w:pPr>
            <w:r>
              <w:rPr>
                <w:rFonts w:hint="eastAsia" w:ascii="宋体" w:eastAsia="宋体"/>
                <w:sz w:val="24"/>
              </w:rPr>
              <w:t>序号</w:t>
            </w:r>
          </w:p>
        </w:tc>
        <w:tc>
          <w:tcPr>
            <w:tcW w:w="2125" w:type="dxa"/>
          </w:tcPr>
          <w:p>
            <w:pPr>
              <w:pStyle w:val="270"/>
              <w:spacing w:before="6"/>
              <w:rPr>
                <w:rFonts w:ascii="宋体"/>
                <w:sz w:val="19"/>
              </w:rPr>
            </w:pPr>
          </w:p>
          <w:p>
            <w:pPr>
              <w:pStyle w:val="270"/>
              <w:rPr>
                <w:rFonts w:ascii="宋体" w:eastAsia="宋体"/>
                <w:sz w:val="24"/>
              </w:rPr>
            </w:pPr>
            <w:r>
              <w:rPr>
                <w:rFonts w:hint="eastAsia" w:ascii="宋体" w:eastAsia="宋体"/>
                <w:sz w:val="24"/>
              </w:rPr>
              <w:t>问题简明表述</w:t>
            </w:r>
          </w:p>
        </w:tc>
        <w:tc>
          <w:tcPr>
            <w:tcW w:w="3121" w:type="dxa"/>
          </w:tcPr>
          <w:p>
            <w:pPr>
              <w:pStyle w:val="270"/>
              <w:spacing w:before="6"/>
              <w:rPr>
                <w:rFonts w:ascii="宋体"/>
                <w:sz w:val="19"/>
              </w:rPr>
            </w:pPr>
          </w:p>
          <w:p>
            <w:pPr>
              <w:pStyle w:val="270"/>
              <w:rPr>
                <w:rFonts w:ascii="宋体" w:eastAsia="宋体"/>
                <w:sz w:val="24"/>
              </w:rPr>
            </w:pPr>
            <w:r>
              <w:rPr>
                <w:rFonts w:hint="eastAsia" w:ascii="宋体" w:eastAsia="宋体"/>
                <w:sz w:val="24"/>
              </w:rPr>
              <w:t>完成情况简述</w:t>
            </w:r>
          </w:p>
        </w:tc>
        <w:tc>
          <w:tcPr>
            <w:tcW w:w="2298" w:type="dxa"/>
          </w:tcPr>
          <w:p>
            <w:pPr>
              <w:pStyle w:val="270"/>
              <w:spacing w:before="48"/>
              <w:rPr>
                <w:rFonts w:ascii="宋体" w:eastAsia="宋体"/>
                <w:sz w:val="24"/>
              </w:rPr>
            </w:pPr>
            <w:r>
              <w:rPr>
                <w:rFonts w:hint="eastAsia" w:ascii="宋体" w:eastAsia="宋体"/>
                <w:sz w:val="24"/>
              </w:rPr>
              <w:t>完成情况</w:t>
            </w:r>
            <w:r>
              <w:rPr>
                <w:rFonts w:ascii="宋体" w:eastAsia="宋体"/>
                <w:sz w:val="24"/>
              </w:rPr>
              <w:t>(</w:t>
            </w:r>
            <w:r>
              <w:rPr>
                <w:rFonts w:hint="eastAsia" w:ascii="宋体" w:eastAsia="宋体"/>
                <w:sz w:val="24"/>
              </w:rPr>
              <w:t>完成，基</w:t>
            </w:r>
          </w:p>
          <w:p>
            <w:pPr>
              <w:pStyle w:val="270"/>
              <w:spacing w:before="98"/>
              <w:rPr>
                <w:rFonts w:ascii="宋体" w:eastAsia="宋体"/>
                <w:sz w:val="24"/>
              </w:rPr>
            </w:pPr>
            <w:r>
              <w:rPr>
                <w:rFonts w:hint="eastAsia" w:ascii="宋体" w:eastAsia="宋体"/>
                <w:sz w:val="24"/>
              </w:rPr>
              <w:t>本完成，进行中</w:t>
            </w:r>
            <w:r>
              <w:rPr>
                <w:rFonts w:ascii="宋体" w:eastAsia="宋体"/>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52" w:type="dxa"/>
          </w:tcPr>
          <w:p>
            <w:pPr>
              <w:pStyle w:val="270"/>
              <w:rPr>
                <w:rFonts w:ascii="Times New Roman"/>
                <w:sz w:val="24"/>
              </w:rPr>
            </w:pPr>
          </w:p>
        </w:tc>
        <w:tc>
          <w:tcPr>
            <w:tcW w:w="2125" w:type="dxa"/>
          </w:tcPr>
          <w:p>
            <w:pPr>
              <w:pStyle w:val="270"/>
              <w:rPr>
                <w:rFonts w:ascii="Times New Roman"/>
                <w:sz w:val="24"/>
              </w:rPr>
            </w:pPr>
          </w:p>
        </w:tc>
        <w:tc>
          <w:tcPr>
            <w:tcW w:w="3121" w:type="dxa"/>
          </w:tcPr>
          <w:p>
            <w:pPr>
              <w:pStyle w:val="270"/>
              <w:rPr>
                <w:rFonts w:ascii="Times New Roman"/>
                <w:sz w:val="24"/>
              </w:rPr>
            </w:pPr>
          </w:p>
        </w:tc>
        <w:tc>
          <w:tcPr>
            <w:tcW w:w="2298" w:type="dxa"/>
          </w:tcPr>
          <w:p>
            <w:pPr>
              <w:pStyle w:val="27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52" w:type="dxa"/>
          </w:tcPr>
          <w:p>
            <w:pPr>
              <w:pStyle w:val="270"/>
              <w:rPr>
                <w:rFonts w:ascii="Times New Roman"/>
                <w:sz w:val="24"/>
              </w:rPr>
            </w:pPr>
          </w:p>
        </w:tc>
        <w:tc>
          <w:tcPr>
            <w:tcW w:w="2125" w:type="dxa"/>
          </w:tcPr>
          <w:p>
            <w:pPr>
              <w:pStyle w:val="270"/>
              <w:rPr>
                <w:rFonts w:ascii="Times New Roman"/>
                <w:sz w:val="24"/>
              </w:rPr>
            </w:pPr>
          </w:p>
        </w:tc>
        <w:tc>
          <w:tcPr>
            <w:tcW w:w="3121" w:type="dxa"/>
          </w:tcPr>
          <w:p>
            <w:pPr>
              <w:pStyle w:val="270"/>
              <w:rPr>
                <w:rFonts w:ascii="Times New Roman"/>
                <w:sz w:val="24"/>
              </w:rPr>
            </w:pPr>
          </w:p>
        </w:tc>
        <w:tc>
          <w:tcPr>
            <w:tcW w:w="2298" w:type="dxa"/>
          </w:tcPr>
          <w:p>
            <w:pPr>
              <w:pStyle w:val="270"/>
              <w:rPr>
                <w:rFonts w:ascii="Times New Roman"/>
                <w:sz w:val="24"/>
              </w:rPr>
            </w:pPr>
          </w:p>
        </w:tc>
      </w:tr>
    </w:tbl>
    <w:p>
      <w:pPr>
        <w:ind w:left="105" w:leftChars="50" w:firstLine="476" w:firstLineChars="200"/>
        <w:rPr>
          <w:rFonts w:ascii="仿宋" w:hAnsi="仿宋" w:eastAsia="仿宋"/>
          <w:sz w:val="24"/>
        </w:rPr>
      </w:pPr>
      <w:r>
        <w:rPr>
          <w:rFonts w:hint="eastAsia" w:ascii="仿宋" w:hAnsi="仿宋" w:eastAsia="仿宋"/>
          <w:spacing w:val="-1"/>
          <w:sz w:val="24"/>
        </w:rPr>
        <w:t>说明：</w:t>
      </w:r>
      <w:r>
        <w:rPr>
          <w:rFonts w:ascii="仿宋" w:hAnsi="仿宋" w:eastAsia="仿宋"/>
          <w:sz w:val="24"/>
        </w:rPr>
        <w:t>1</w:t>
      </w:r>
      <w:r>
        <w:rPr>
          <w:rFonts w:ascii="仿宋" w:hAnsi="仿宋" w:eastAsia="仿宋"/>
          <w:spacing w:val="-5"/>
          <w:sz w:val="24"/>
        </w:rPr>
        <w:t>.</w:t>
      </w:r>
      <w:r>
        <w:rPr>
          <w:rFonts w:hint="eastAsia" w:ascii="仿宋" w:hAnsi="仿宋" w:eastAsia="仿宋"/>
          <w:spacing w:val="-5"/>
          <w:sz w:val="24"/>
        </w:rPr>
        <w:t>完成情况由学校自我评估。已完全整改的，填写“完成”；问题的大部</w:t>
      </w:r>
      <w:r>
        <w:rPr>
          <w:rFonts w:hint="eastAsia" w:ascii="仿宋" w:hAnsi="仿宋" w:eastAsia="仿宋"/>
          <w:spacing w:val="-13"/>
          <w:sz w:val="24"/>
        </w:rPr>
        <w:t>分已经解决，还有少量遗留，且遗留问题对人才培养质量不会产生影响</w:t>
      </w:r>
      <w:r>
        <w:rPr>
          <w:rFonts w:hint="eastAsia" w:ascii="仿宋" w:hAnsi="仿宋" w:eastAsia="仿宋"/>
          <w:spacing w:val="-12"/>
          <w:sz w:val="24"/>
        </w:rPr>
        <w:t>的，填写“基本完成”；问题的主要部分还未解决尚在整改过程中，填</w:t>
      </w:r>
      <w:r>
        <w:rPr>
          <w:rFonts w:hint="eastAsia" w:ascii="仿宋" w:hAnsi="仿宋" w:eastAsia="仿宋"/>
          <w:spacing w:val="-18"/>
          <w:sz w:val="24"/>
        </w:rPr>
        <w:t>写“进行中”。</w:t>
      </w:r>
    </w:p>
    <w:p>
      <w:pPr>
        <w:ind w:firstLine="600" w:firstLineChars="250"/>
        <w:rPr>
          <w:rFonts w:ascii="仿宋" w:hAnsi="仿宋" w:eastAsia="仿宋"/>
          <w:sz w:val="24"/>
        </w:rPr>
      </w:pPr>
      <w:r>
        <w:rPr>
          <w:rFonts w:ascii="仿宋" w:hAnsi="仿宋" w:eastAsia="仿宋"/>
          <w:sz w:val="24"/>
        </w:rPr>
        <w:t>2.</w:t>
      </w:r>
      <w:r>
        <w:rPr>
          <w:rFonts w:hint="eastAsia" w:ascii="仿宋" w:hAnsi="仿宋" w:eastAsia="仿宋"/>
          <w:sz w:val="24"/>
        </w:rPr>
        <w:t>问题序号与前问题清单保持一致。</w:t>
      </w:r>
    </w:p>
    <w:p>
      <w:pPr>
        <w:pStyle w:val="2"/>
        <w:spacing w:before="1" w:line="328" w:lineRule="auto"/>
        <w:ind w:firstLine="559"/>
      </w:pPr>
    </w:p>
    <w:p>
      <w:pPr>
        <w:pStyle w:val="2"/>
        <w:spacing w:before="1" w:line="328" w:lineRule="auto"/>
        <w:rPr>
          <w:rFonts w:ascii="黑体"/>
        </w:rPr>
      </w:pPr>
      <w:r>
        <w:rPr>
          <w:rFonts w:hint="eastAsia" w:ascii="黑体" w:hAnsi="黑体"/>
        </w:rPr>
        <w:t>附录</w:t>
      </w:r>
      <w:r>
        <w:rPr>
          <w:rFonts w:ascii="黑体" w:hAnsi="黑体"/>
        </w:rPr>
        <w:t>3</w:t>
      </w:r>
      <w:r>
        <w:rPr>
          <w:rFonts w:hint="eastAsia" w:ascii="黑体" w:hAnsi="黑体"/>
        </w:rPr>
        <w:t>关键办学指标整改前后对照表</w:t>
      </w:r>
    </w:p>
    <w:tbl>
      <w:tblPr>
        <w:tblStyle w:val="8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2125"/>
        <w:gridCol w:w="2422"/>
        <w:gridCol w:w="1842"/>
        <w:gridCol w:w="1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52" w:type="dxa"/>
            <w:vAlign w:val="center"/>
          </w:tcPr>
          <w:p>
            <w:pPr>
              <w:pStyle w:val="270"/>
              <w:spacing w:before="98"/>
              <w:jc w:val="center"/>
              <w:rPr>
                <w:rFonts w:ascii="宋体" w:eastAsia="宋体"/>
                <w:sz w:val="24"/>
              </w:rPr>
            </w:pPr>
            <w:r>
              <w:rPr>
                <w:rFonts w:hint="eastAsia" w:ascii="宋体" w:eastAsia="宋体"/>
                <w:sz w:val="24"/>
              </w:rPr>
              <w:t>序号</w:t>
            </w:r>
          </w:p>
        </w:tc>
        <w:tc>
          <w:tcPr>
            <w:tcW w:w="2125" w:type="dxa"/>
            <w:vAlign w:val="center"/>
          </w:tcPr>
          <w:p>
            <w:pPr>
              <w:pStyle w:val="270"/>
              <w:jc w:val="center"/>
              <w:rPr>
                <w:rFonts w:ascii="宋体" w:eastAsia="宋体"/>
                <w:sz w:val="24"/>
              </w:rPr>
            </w:pPr>
            <w:r>
              <w:rPr>
                <w:rFonts w:hint="eastAsia" w:ascii="宋体" w:eastAsia="宋体"/>
                <w:sz w:val="24"/>
              </w:rPr>
              <w:t>指标</w:t>
            </w:r>
          </w:p>
        </w:tc>
        <w:tc>
          <w:tcPr>
            <w:tcW w:w="2422" w:type="dxa"/>
            <w:vAlign w:val="center"/>
          </w:tcPr>
          <w:p>
            <w:pPr>
              <w:pStyle w:val="270"/>
              <w:jc w:val="center"/>
              <w:rPr>
                <w:rFonts w:ascii="宋体" w:eastAsia="宋体"/>
                <w:sz w:val="24"/>
              </w:rPr>
            </w:pPr>
            <w:r>
              <w:rPr>
                <w:rFonts w:hint="eastAsia" w:ascii="宋体" w:eastAsia="宋体"/>
                <w:sz w:val="24"/>
              </w:rPr>
              <w:t>整改前</w:t>
            </w:r>
          </w:p>
        </w:tc>
        <w:tc>
          <w:tcPr>
            <w:tcW w:w="1842" w:type="dxa"/>
            <w:vAlign w:val="center"/>
          </w:tcPr>
          <w:p>
            <w:pPr>
              <w:pStyle w:val="270"/>
              <w:spacing w:before="98"/>
              <w:jc w:val="center"/>
              <w:rPr>
                <w:rFonts w:ascii="宋体" w:eastAsia="宋体"/>
                <w:sz w:val="24"/>
              </w:rPr>
            </w:pPr>
            <w:r>
              <w:rPr>
                <w:rFonts w:hint="eastAsia" w:ascii="宋体" w:eastAsia="宋体"/>
                <w:sz w:val="24"/>
              </w:rPr>
              <w:t>整改后</w:t>
            </w:r>
          </w:p>
        </w:tc>
        <w:tc>
          <w:tcPr>
            <w:tcW w:w="1530" w:type="dxa"/>
            <w:tcBorders>
              <w:right w:val="single" w:color="auto" w:sz="4" w:space="0"/>
            </w:tcBorders>
            <w:vAlign w:val="center"/>
          </w:tcPr>
          <w:p>
            <w:pPr>
              <w:pStyle w:val="270"/>
              <w:spacing w:before="98"/>
              <w:jc w:val="center"/>
              <w:rPr>
                <w:rFonts w:ascii="宋体" w:eastAsia="宋体"/>
                <w:sz w:val="24"/>
              </w:rPr>
            </w:pPr>
            <w:r>
              <w:rPr>
                <w:rFonts w:hint="eastAsia" w:ascii="宋体" w:eastAsia="宋体"/>
                <w:sz w:val="24"/>
              </w:rPr>
              <w:t>变化情况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52" w:type="dxa"/>
          </w:tcPr>
          <w:p>
            <w:pPr>
              <w:pStyle w:val="270"/>
              <w:rPr>
                <w:rFonts w:ascii="Times New Roman"/>
                <w:sz w:val="24"/>
              </w:rPr>
            </w:pPr>
          </w:p>
        </w:tc>
        <w:tc>
          <w:tcPr>
            <w:tcW w:w="2125" w:type="dxa"/>
          </w:tcPr>
          <w:p>
            <w:pPr>
              <w:pStyle w:val="270"/>
              <w:rPr>
                <w:rFonts w:ascii="Times New Roman"/>
                <w:sz w:val="24"/>
              </w:rPr>
            </w:pPr>
          </w:p>
        </w:tc>
        <w:tc>
          <w:tcPr>
            <w:tcW w:w="2422" w:type="dxa"/>
          </w:tcPr>
          <w:p>
            <w:pPr>
              <w:pStyle w:val="270"/>
              <w:rPr>
                <w:rFonts w:ascii="Times New Roman"/>
                <w:sz w:val="24"/>
              </w:rPr>
            </w:pPr>
          </w:p>
        </w:tc>
        <w:tc>
          <w:tcPr>
            <w:tcW w:w="1842" w:type="dxa"/>
          </w:tcPr>
          <w:p>
            <w:pPr>
              <w:pStyle w:val="270"/>
              <w:rPr>
                <w:rFonts w:ascii="Times New Roman"/>
                <w:sz w:val="24"/>
              </w:rPr>
            </w:pPr>
          </w:p>
        </w:tc>
        <w:tc>
          <w:tcPr>
            <w:tcW w:w="1530" w:type="dxa"/>
            <w:tcBorders>
              <w:right w:val="single" w:color="auto" w:sz="4" w:space="0"/>
            </w:tcBorders>
          </w:tcPr>
          <w:p>
            <w:pPr>
              <w:pStyle w:val="27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52" w:type="dxa"/>
          </w:tcPr>
          <w:p>
            <w:pPr>
              <w:pStyle w:val="270"/>
              <w:rPr>
                <w:rFonts w:ascii="Times New Roman"/>
                <w:sz w:val="24"/>
              </w:rPr>
            </w:pPr>
          </w:p>
        </w:tc>
        <w:tc>
          <w:tcPr>
            <w:tcW w:w="2125" w:type="dxa"/>
          </w:tcPr>
          <w:p>
            <w:pPr>
              <w:pStyle w:val="270"/>
              <w:rPr>
                <w:rFonts w:ascii="Times New Roman"/>
                <w:sz w:val="24"/>
              </w:rPr>
            </w:pPr>
          </w:p>
        </w:tc>
        <w:tc>
          <w:tcPr>
            <w:tcW w:w="2422" w:type="dxa"/>
          </w:tcPr>
          <w:p>
            <w:pPr>
              <w:pStyle w:val="270"/>
              <w:rPr>
                <w:rFonts w:ascii="Times New Roman"/>
                <w:sz w:val="24"/>
              </w:rPr>
            </w:pPr>
          </w:p>
        </w:tc>
        <w:tc>
          <w:tcPr>
            <w:tcW w:w="1842" w:type="dxa"/>
          </w:tcPr>
          <w:p>
            <w:pPr>
              <w:pStyle w:val="270"/>
              <w:rPr>
                <w:rFonts w:ascii="Times New Roman"/>
                <w:sz w:val="24"/>
              </w:rPr>
            </w:pPr>
          </w:p>
        </w:tc>
        <w:tc>
          <w:tcPr>
            <w:tcW w:w="1530" w:type="dxa"/>
            <w:tcBorders>
              <w:right w:val="single" w:color="auto" w:sz="4" w:space="0"/>
            </w:tcBorders>
          </w:tcPr>
          <w:p>
            <w:pPr>
              <w:pStyle w:val="27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52" w:type="dxa"/>
          </w:tcPr>
          <w:p>
            <w:pPr>
              <w:pStyle w:val="270"/>
              <w:rPr>
                <w:rFonts w:ascii="Times New Roman"/>
                <w:sz w:val="24"/>
              </w:rPr>
            </w:pPr>
          </w:p>
        </w:tc>
        <w:tc>
          <w:tcPr>
            <w:tcW w:w="2125" w:type="dxa"/>
          </w:tcPr>
          <w:p>
            <w:pPr>
              <w:pStyle w:val="270"/>
              <w:rPr>
                <w:rFonts w:ascii="Times New Roman"/>
                <w:sz w:val="24"/>
              </w:rPr>
            </w:pPr>
          </w:p>
        </w:tc>
        <w:tc>
          <w:tcPr>
            <w:tcW w:w="2422" w:type="dxa"/>
          </w:tcPr>
          <w:p>
            <w:pPr>
              <w:pStyle w:val="270"/>
              <w:rPr>
                <w:rFonts w:ascii="Times New Roman"/>
                <w:sz w:val="24"/>
              </w:rPr>
            </w:pPr>
          </w:p>
        </w:tc>
        <w:tc>
          <w:tcPr>
            <w:tcW w:w="1842" w:type="dxa"/>
          </w:tcPr>
          <w:p>
            <w:pPr>
              <w:pStyle w:val="270"/>
              <w:rPr>
                <w:rFonts w:ascii="Times New Roman"/>
                <w:sz w:val="24"/>
              </w:rPr>
            </w:pPr>
          </w:p>
        </w:tc>
        <w:tc>
          <w:tcPr>
            <w:tcW w:w="1530" w:type="dxa"/>
            <w:tcBorders>
              <w:right w:val="single" w:color="auto" w:sz="4" w:space="0"/>
            </w:tcBorders>
          </w:tcPr>
          <w:p>
            <w:pPr>
              <w:pStyle w:val="270"/>
              <w:rPr>
                <w:rFonts w:ascii="Times New Roman"/>
                <w:sz w:val="24"/>
              </w:rPr>
            </w:pPr>
          </w:p>
        </w:tc>
      </w:tr>
    </w:tbl>
    <w:p>
      <w:pPr>
        <w:rPr>
          <w:sz w:val="28"/>
          <w:szCs w:val="28"/>
        </w:rPr>
      </w:pPr>
    </w:p>
    <w:p/>
    <w:sectPr>
      <w:pgSz w:w="11906" w:h="16838"/>
      <w:pgMar w:top="1440" w:right="1797" w:bottom="1440" w:left="1797" w:header="851" w:footer="158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79851C6-7D71-4388-A310-03F8932DA0B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4710FFE-A2AB-4DC2-9EF6-00B0280B68F1}"/>
  </w:font>
  <w:font w:name="方正仿宋_GB2312">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embedRegular r:id="rId3" w:fontKey="{99668260-8F96-4EE0-8B67-6F86A65BE1C9}"/>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4" w:fontKey="{8064CD19-DED7-4EDA-B58A-5CBC7FDCEC85}"/>
  </w:font>
  <w:font w:name="Courier New">
    <w:panose1 w:val="02070309020205020404"/>
    <w:charset w:val="00"/>
    <w:family w:val="modern"/>
    <w:pitch w:val="default"/>
    <w:sig w:usb0="E0002EFF" w:usb1="C0007843" w:usb2="00000009" w:usb3="00000000" w:csb0="400001FF" w:csb1="FFFF0000"/>
  </w:font>
  <w:font w:name="方正仿宋_GBK">
    <w:altName w:val="微软雅黑"/>
    <w:panose1 w:val="03000509000000000000"/>
    <w:charset w:val="86"/>
    <w:family w:val="script"/>
    <w:pitch w:val="default"/>
    <w:sig w:usb0="00000000" w:usb1="00000000" w:usb2="00000010" w:usb3="00000000" w:csb0="00040000" w:csb1="00000000"/>
    <w:embedRegular r:id="rId5" w:fontKey="{327CDA35-FE9E-4A05-B082-6E030495E3F1}"/>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embedRegular r:id="rId6" w:fontKey="{3BD849B4-2A6D-49A8-89AA-18CA6DD23C80}"/>
  </w:font>
  <w:font w:name="华文中宋">
    <w:panose1 w:val="02010600040101010101"/>
    <w:charset w:val="86"/>
    <w:family w:val="auto"/>
    <w:pitch w:val="default"/>
    <w:sig w:usb0="00000287" w:usb1="080F0000" w:usb2="00000000" w:usb3="00000000" w:csb0="0004009F" w:csb1="DFD70000"/>
    <w:embedRegular r:id="rId7" w:fontKey="{CDCCCCA1-BA58-49DF-8A1D-56F47CE1C6D8}"/>
  </w:font>
  <w:font w:name="FZFSK--GBK1-0">
    <w:altName w:val="宋体"/>
    <w:panose1 w:val="00000000000000000000"/>
    <w:charset w:val="86"/>
    <w:family w:val="auto"/>
    <w:pitch w:val="default"/>
    <w:sig w:usb0="00000000" w:usb1="00000000" w:usb2="00000010" w:usb3="00000000" w:csb0="00040000" w:csb1="00000000"/>
    <w:embedRegular r:id="rId8" w:fontKey="{6C613E77-981E-49DB-BA78-0A9F204DAEB1}"/>
  </w:font>
  <w:font w:name="FZSHK--GBK1-0">
    <w:altName w:val="宋体"/>
    <w:panose1 w:val="00000000000000000000"/>
    <w:charset w:val="86"/>
    <w:family w:val="auto"/>
    <w:pitch w:val="default"/>
    <w:sig w:usb0="00000000" w:usb1="00000000" w:usb2="00000010" w:usb3="00000000" w:csb0="00040000" w:csb1="00000000"/>
    <w:embedRegular r:id="rId9" w:fontKey="{D7F7A147-3224-4A39-AB42-9498471337FB}"/>
  </w:font>
  <w:font w:name="FZSSK--GBK1-0">
    <w:altName w:val="宋体"/>
    <w:panose1 w:val="00000000000000000000"/>
    <w:charset w:val="86"/>
    <w:family w:val="auto"/>
    <w:pitch w:val="default"/>
    <w:sig w:usb0="00000000" w:usb1="00000000" w:usb2="00000010" w:usb3="00000000" w:csb0="00040000" w:csb1="00000000"/>
    <w:embedRegular r:id="rId10" w:fontKey="{D58FB564-F3D6-4075-BF2F-F110FAE1A139}"/>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page" w:x="9092" w:y="-84"/>
      <w:rPr>
        <w:rStyle w:val="95"/>
        <w:rFonts w:ascii="宋体"/>
        <w:sz w:val="28"/>
        <w:szCs w:val="28"/>
      </w:rPr>
    </w:pPr>
    <w:r>
      <w:rPr>
        <w:rStyle w:val="95"/>
        <w:rFonts w:ascii="宋体" w:hAnsi="宋体"/>
        <w:sz w:val="28"/>
        <w:szCs w:val="28"/>
      </w:rPr>
      <w:t xml:space="preserve">— </w:t>
    </w:r>
    <w:r>
      <w:rPr>
        <w:rStyle w:val="95"/>
        <w:rFonts w:ascii="宋体" w:hAnsi="宋体"/>
        <w:sz w:val="28"/>
        <w:szCs w:val="28"/>
      </w:rPr>
      <w:fldChar w:fldCharType="begin"/>
    </w:r>
    <w:r>
      <w:rPr>
        <w:rStyle w:val="95"/>
        <w:rFonts w:ascii="宋体" w:hAnsi="宋体"/>
        <w:sz w:val="28"/>
        <w:szCs w:val="28"/>
      </w:rPr>
      <w:instrText xml:space="preserve">PAGE  </w:instrText>
    </w:r>
    <w:r>
      <w:rPr>
        <w:rStyle w:val="95"/>
        <w:rFonts w:ascii="宋体" w:hAnsi="宋体"/>
        <w:sz w:val="28"/>
        <w:szCs w:val="28"/>
      </w:rPr>
      <w:fldChar w:fldCharType="separate"/>
    </w:r>
    <w:r>
      <w:rPr>
        <w:rStyle w:val="95"/>
        <w:rFonts w:ascii="宋体" w:hAnsi="宋体"/>
        <w:sz w:val="28"/>
        <w:szCs w:val="28"/>
      </w:rPr>
      <w:t>1</w:t>
    </w:r>
    <w:r>
      <w:rPr>
        <w:rStyle w:val="95"/>
        <w:rFonts w:ascii="宋体" w:hAnsi="宋体"/>
        <w:sz w:val="28"/>
        <w:szCs w:val="28"/>
      </w:rPr>
      <w:fldChar w:fldCharType="end"/>
    </w:r>
    <w:r>
      <w:rPr>
        <w:rStyle w:val="95"/>
        <w:rFonts w:ascii="宋体" w:hAnsi="宋体"/>
        <w:sz w:val="28"/>
        <w:szCs w:val="28"/>
      </w:rPr>
      <w:t xml:space="preserve"> —</w:t>
    </w:r>
  </w:p>
  <w:p>
    <w:pPr>
      <w:pStyle w:val="2"/>
      <w:spacing w:line="14" w:lineRule="auto"/>
      <w:ind w:right="360" w:firstLine="360"/>
      <w:rPr>
        <w:rFonts w:ascii="宋体" w:hAnsi="宋体" w:eastAsia="宋体"/>
        <w:sz w:val="28"/>
        <w:szCs w:val="28"/>
      </w:rPr>
    </w:pPr>
    <w:r>
      <w:pict>
        <v:shape id="文本框 34" o:spid="_x0000_s2049" o:spt="202" type="#_x0000_t202" style="position:absolute;left:0pt;margin-left:291.1pt;margin-top:771.15pt;height:11pt;width:13.15pt;mso-position-horizontal-relative:page;mso-position-vertical-relative:page;z-index:-2516551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">
          <v:path arrowok="t"/>
          <v:fill on="f" focussize="0,0"/>
          <v:stroke on="f" joinstyle="miter"/>
          <v:imagedata o:title=""/>
          <o:lock v:ext="edit"/>
          <v:textbox inset="0mm,0mm,0mm,0mm">
            <w:txbxContent>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outside" w:y="1"/>
      <w:ind w:firstLine="280" w:firstLineChars="100"/>
      <w:rPr>
        <w:rStyle w:val="95"/>
        <w:rFonts w:ascii="宋体"/>
        <w:sz w:val="28"/>
        <w:szCs w:val="28"/>
      </w:rPr>
    </w:pPr>
    <w:r>
      <w:rPr>
        <w:rStyle w:val="95"/>
        <w:rFonts w:ascii="宋体" w:hAnsi="宋体"/>
        <w:sz w:val="28"/>
        <w:szCs w:val="28"/>
      </w:rPr>
      <w:t xml:space="preserve">— </w:t>
    </w:r>
    <w:r>
      <w:rPr>
        <w:rStyle w:val="95"/>
        <w:rFonts w:ascii="宋体" w:hAnsi="宋体"/>
        <w:sz w:val="28"/>
        <w:szCs w:val="28"/>
      </w:rPr>
      <w:fldChar w:fldCharType="begin"/>
    </w:r>
    <w:r>
      <w:rPr>
        <w:rStyle w:val="95"/>
        <w:rFonts w:ascii="宋体" w:hAnsi="宋体"/>
        <w:sz w:val="28"/>
        <w:szCs w:val="28"/>
      </w:rPr>
      <w:instrText xml:space="preserve">PAGE  </w:instrText>
    </w:r>
    <w:r>
      <w:rPr>
        <w:rStyle w:val="95"/>
        <w:rFonts w:ascii="宋体" w:hAnsi="宋体"/>
        <w:sz w:val="28"/>
        <w:szCs w:val="28"/>
      </w:rPr>
      <w:fldChar w:fldCharType="separate"/>
    </w:r>
    <w:r>
      <w:rPr>
        <w:rStyle w:val="95"/>
        <w:rFonts w:ascii="宋体" w:hAnsi="宋体"/>
        <w:sz w:val="28"/>
        <w:szCs w:val="28"/>
      </w:rPr>
      <w:t>2</w:t>
    </w:r>
    <w:r>
      <w:rPr>
        <w:rStyle w:val="95"/>
        <w:rFonts w:ascii="宋体" w:hAnsi="宋体"/>
        <w:sz w:val="28"/>
        <w:szCs w:val="28"/>
      </w:rPr>
      <w:fldChar w:fldCharType="end"/>
    </w:r>
    <w:r>
      <w:rPr>
        <w:rStyle w:val="95"/>
        <w:rFonts w:ascii="宋体" w:hAnsi="宋体"/>
        <w:sz w:val="28"/>
        <w:szCs w:val="28"/>
      </w:rPr>
      <w:t xml:space="preserve"> —</w:t>
    </w:r>
  </w:p>
  <w:p>
    <w:pPr>
      <w:pStyle w:val="5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page" w:x="9061" w:y="25"/>
      <w:rPr>
        <w:rStyle w:val="95"/>
        <w:rFonts w:ascii="宋体"/>
        <w:sz w:val="28"/>
        <w:szCs w:val="28"/>
      </w:rPr>
    </w:pPr>
    <w:r>
      <w:rPr>
        <w:rStyle w:val="95"/>
        <w:rFonts w:ascii="宋体" w:hAnsi="宋体"/>
        <w:sz w:val="28"/>
        <w:szCs w:val="28"/>
      </w:rPr>
      <w:t xml:space="preserve">— </w:t>
    </w:r>
    <w:r>
      <w:rPr>
        <w:rStyle w:val="95"/>
        <w:rFonts w:ascii="宋体" w:hAnsi="宋体"/>
        <w:sz w:val="28"/>
        <w:szCs w:val="28"/>
      </w:rPr>
      <w:fldChar w:fldCharType="begin"/>
    </w:r>
    <w:r>
      <w:rPr>
        <w:rStyle w:val="95"/>
        <w:rFonts w:ascii="宋体" w:hAnsi="宋体"/>
        <w:sz w:val="28"/>
        <w:szCs w:val="28"/>
      </w:rPr>
      <w:instrText xml:space="preserve">PAGE  </w:instrText>
    </w:r>
    <w:r>
      <w:rPr>
        <w:rStyle w:val="95"/>
        <w:rFonts w:ascii="宋体" w:hAnsi="宋体"/>
        <w:sz w:val="28"/>
        <w:szCs w:val="28"/>
      </w:rPr>
      <w:fldChar w:fldCharType="separate"/>
    </w:r>
    <w:r>
      <w:rPr>
        <w:rStyle w:val="95"/>
        <w:rFonts w:ascii="宋体" w:hAnsi="宋体"/>
        <w:sz w:val="28"/>
        <w:szCs w:val="28"/>
      </w:rPr>
      <w:t>59</w:t>
    </w:r>
    <w:r>
      <w:rPr>
        <w:rStyle w:val="95"/>
        <w:rFonts w:ascii="宋体" w:hAnsi="宋体"/>
        <w:sz w:val="28"/>
        <w:szCs w:val="28"/>
      </w:rPr>
      <w:fldChar w:fldCharType="end"/>
    </w:r>
    <w:r>
      <w:rPr>
        <w:rStyle w:val="95"/>
        <w:rFonts w:ascii="宋体" w:hAnsi="宋体"/>
        <w:sz w:val="28"/>
        <w:szCs w:val="28"/>
      </w:rPr>
      <w:t xml:space="preserve"> —</w:t>
    </w:r>
  </w:p>
  <w:p>
    <w:pPr>
      <w:pStyle w:val="2"/>
      <w:spacing w:line="14" w:lineRule="auto"/>
      <w:ind w:right="360" w:firstLine="360"/>
      <w:rPr>
        <w:rFonts w:ascii="宋体" w:hAnsi="宋体" w:eastAsia="宋体"/>
        <w:sz w:val="28"/>
        <w:szCs w:val="28"/>
      </w:rPr>
    </w:pPr>
    <w:r>
      <w:pict>
        <v:shape id="文本框 35" o:spid="_x0000_s2050" o:spt="202" type="#_x0000_t202" style="position:absolute;left:0pt;margin-left:291.05pt;margin-top:769.35pt;height:11pt;width:13.15pt;mso-position-horizontal-relative:page;mso-position-vertical-relative:page;z-index:-2516541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">
          <v:path arrowok="t"/>
          <v:fill on="f" focussize="0,0"/>
          <v:stroke on="f" joinstyle="miter"/>
          <v:imagedata o:title=""/>
          <o:lock v:ext="edit"/>
          <v:textbox inset="0mm,0mm,0mm,0mm">
            <w:txbxContent>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F9FE59"/>
    <w:multiLevelType w:val="multilevel"/>
    <w:tmpl w:val="D7F9FE59"/>
    <w:lvl w:ilvl="0" w:tentative="0">
      <w:start w:val="7"/>
      <w:numFmt w:val="decimal"/>
      <w:lvlText w:val="%1"/>
      <w:lvlJc w:val="left"/>
      <w:pPr>
        <w:ind w:left="1034" w:hanging="490"/>
      </w:pPr>
      <w:rPr>
        <w:rFonts w:hint="default" w:cs="Times New Roman"/>
      </w:rPr>
    </w:lvl>
    <w:lvl w:ilvl="1" w:tentative="0">
      <w:start w:val="1"/>
      <w:numFmt w:val="decimal"/>
      <w:lvlText w:val="%1.%2"/>
      <w:lvlJc w:val="left"/>
      <w:pPr>
        <w:ind w:left="1034" w:hanging="490"/>
      </w:pPr>
      <w:rPr>
        <w:rFonts w:hint="default" w:ascii="黑体" w:hAnsi="黑体" w:eastAsia="黑体" w:cs="黑体"/>
        <w:spacing w:val="-2"/>
        <w:w w:val="100"/>
        <w:sz w:val="28"/>
        <w:szCs w:val="28"/>
      </w:rPr>
    </w:lvl>
    <w:lvl w:ilvl="2" w:tentative="0">
      <w:start w:val="1"/>
      <w:numFmt w:val="decimal"/>
      <w:lvlText w:val="%3."/>
      <w:lvlJc w:val="left"/>
      <w:pPr>
        <w:ind w:left="120" w:hanging="283"/>
      </w:pPr>
      <w:rPr>
        <w:rFonts w:hint="default" w:ascii="宋体" w:hAnsi="宋体" w:eastAsia="宋体" w:cs="宋体"/>
        <w:spacing w:val="-2"/>
        <w:w w:val="100"/>
        <w:sz w:val="26"/>
        <w:szCs w:val="26"/>
      </w:rPr>
    </w:lvl>
    <w:lvl w:ilvl="3" w:tentative="0">
      <w:start w:val="1"/>
      <w:numFmt w:val="decimal"/>
      <w:lvlText w:val="%4."/>
      <w:lvlJc w:val="left"/>
      <w:pPr>
        <w:ind w:left="1242" w:hanging="481"/>
      </w:pPr>
      <w:rPr>
        <w:rFonts w:hint="default" w:ascii="黑体" w:hAnsi="黑体" w:eastAsia="黑体" w:cs="黑体"/>
        <w:spacing w:val="0"/>
        <w:w w:val="99"/>
        <w:sz w:val="30"/>
        <w:szCs w:val="30"/>
      </w:rPr>
    </w:lvl>
    <w:lvl w:ilvl="4" w:tentative="0">
      <w:start w:val="0"/>
      <w:numFmt w:val="bullet"/>
      <w:lvlText w:val="•"/>
      <w:lvlJc w:val="left"/>
      <w:pPr>
        <w:ind w:left="3136" w:hanging="481"/>
      </w:pPr>
      <w:rPr>
        <w:rFonts w:hint="default"/>
      </w:rPr>
    </w:lvl>
    <w:lvl w:ilvl="5" w:tentative="0">
      <w:start w:val="0"/>
      <w:numFmt w:val="bullet"/>
      <w:lvlText w:val="•"/>
      <w:lvlJc w:val="left"/>
      <w:pPr>
        <w:ind w:left="4084" w:hanging="481"/>
      </w:pPr>
      <w:rPr>
        <w:rFonts w:hint="default"/>
      </w:rPr>
    </w:lvl>
    <w:lvl w:ilvl="6" w:tentative="0">
      <w:start w:val="0"/>
      <w:numFmt w:val="bullet"/>
      <w:lvlText w:val="•"/>
      <w:lvlJc w:val="left"/>
      <w:pPr>
        <w:ind w:left="5033" w:hanging="481"/>
      </w:pPr>
      <w:rPr>
        <w:rFonts w:hint="default"/>
      </w:rPr>
    </w:lvl>
    <w:lvl w:ilvl="7" w:tentative="0">
      <w:start w:val="0"/>
      <w:numFmt w:val="bullet"/>
      <w:lvlText w:val="•"/>
      <w:lvlJc w:val="left"/>
      <w:pPr>
        <w:ind w:left="5981" w:hanging="481"/>
      </w:pPr>
      <w:rPr>
        <w:rFonts w:hint="default"/>
      </w:rPr>
    </w:lvl>
    <w:lvl w:ilvl="8" w:tentative="0">
      <w:start w:val="0"/>
      <w:numFmt w:val="bullet"/>
      <w:lvlText w:val="•"/>
      <w:lvlJc w:val="left"/>
      <w:pPr>
        <w:ind w:left="6929" w:hanging="481"/>
      </w:pPr>
      <w:rPr>
        <w:rFonts w:hint="default"/>
      </w:rPr>
    </w:lvl>
  </w:abstractNum>
  <w:abstractNum w:abstractNumId="1">
    <w:nsid w:val="DCBA6B53"/>
    <w:multiLevelType w:val="multilevel"/>
    <w:tmpl w:val="DCBA6B53"/>
    <w:lvl w:ilvl="0" w:tentative="0">
      <w:start w:val="1"/>
      <w:numFmt w:val="decimal"/>
      <w:lvlText w:val="%1."/>
      <w:lvlJc w:val="left"/>
      <w:pPr>
        <w:ind w:left="828" w:hanging="480"/>
      </w:pPr>
      <w:rPr>
        <w:rFonts w:hint="default" w:ascii="黑体" w:hAnsi="黑体" w:eastAsia="黑体" w:cs="黑体"/>
        <w:spacing w:val="0"/>
        <w:w w:val="99"/>
        <w:sz w:val="32"/>
        <w:szCs w:val="32"/>
      </w:rPr>
    </w:lvl>
    <w:lvl w:ilvl="1" w:tentative="0">
      <w:start w:val="1"/>
      <w:numFmt w:val="decimal"/>
      <w:lvlText w:val="%1.%2"/>
      <w:lvlJc w:val="left"/>
      <w:pPr>
        <w:ind w:left="915" w:hanging="490"/>
      </w:pPr>
      <w:rPr>
        <w:rFonts w:hint="default" w:cs="Times New Roman"/>
        <w:spacing w:val="-2"/>
        <w:w w:val="100"/>
      </w:rPr>
    </w:lvl>
    <w:lvl w:ilvl="2" w:tentative="0">
      <w:start w:val="0"/>
      <w:numFmt w:val="bullet"/>
      <w:lvlText w:val="•"/>
      <w:lvlJc w:val="left"/>
      <w:pPr>
        <w:ind w:left="1905" w:hanging="490"/>
      </w:pPr>
      <w:rPr>
        <w:rFonts w:hint="default"/>
      </w:rPr>
    </w:lvl>
    <w:lvl w:ilvl="3" w:tentative="0">
      <w:start w:val="0"/>
      <w:numFmt w:val="bullet"/>
      <w:lvlText w:val="•"/>
      <w:lvlJc w:val="left"/>
      <w:pPr>
        <w:ind w:left="2770" w:hanging="490"/>
      </w:pPr>
      <w:rPr>
        <w:rFonts w:hint="default"/>
      </w:rPr>
    </w:lvl>
    <w:lvl w:ilvl="4" w:tentative="0">
      <w:start w:val="0"/>
      <w:numFmt w:val="bullet"/>
      <w:lvlText w:val="•"/>
      <w:lvlJc w:val="left"/>
      <w:pPr>
        <w:ind w:left="3635" w:hanging="490"/>
      </w:pPr>
      <w:rPr>
        <w:rFonts w:hint="default"/>
      </w:rPr>
    </w:lvl>
    <w:lvl w:ilvl="5" w:tentative="0">
      <w:start w:val="0"/>
      <w:numFmt w:val="bullet"/>
      <w:lvlText w:val="•"/>
      <w:lvlJc w:val="left"/>
      <w:pPr>
        <w:ind w:left="4500" w:hanging="490"/>
      </w:pPr>
      <w:rPr>
        <w:rFonts w:hint="default"/>
      </w:rPr>
    </w:lvl>
    <w:lvl w:ilvl="6" w:tentative="0">
      <w:start w:val="0"/>
      <w:numFmt w:val="bullet"/>
      <w:lvlText w:val="•"/>
      <w:lvlJc w:val="left"/>
      <w:pPr>
        <w:ind w:left="5365" w:hanging="490"/>
      </w:pPr>
      <w:rPr>
        <w:rFonts w:hint="default"/>
      </w:rPr>
    </w:lvl>
    <w:lvl w:ilvl="7" w:tentative="0">
      <w:start w:val="0"/>
      <w:numFmt w:val="bullet"/>
      <w:lvlText w:val="•"/>
      <w:lvlJc w:val="left"/>
      <w:pPr>
        <w:ind w:left="6230" w:hanging="490"/>
      </w:pPr>
      <w:rPr>
        <w:rFonts w:hint="default"/>
      </w:rPr>
    </w:lvl>
    <w:lvl w:ilvl="8" w:tentative="0">
      <w:start w:val="0"/>
      <w:numFmt w:val="bullet"/>
      <w:lvlText w:val="•"/>
      <w:lvlJc w:val="left"/>
      <w:pPr>
        <w:ind w:left="7096" w:hanging="490"/>
      </w:pPr>
      <w:rPr>
        <w:rFonts w:hint="default"/>
      </w:rPr>
    </w:lvl>
  </w:abstractNum>
  <w:abstractNum w:abstractNumId="2">
    <w:nsid w:val="F4B5D9F5"/>
    <w:multiLevelType w:val="multilevel"/>
    <w:tmpl w:val="F4B5D9F5"/>
    <w:lvl w:ilvl="0" w:tentative="0">
      <w:start w:val="1"/>
      <w:numFmt w:val="decimal"/>
      <w:lvlText w:val="%1."/>
      <w:lvlJc w:val="left"/>
      <w:pPr>
        <w:ind w:left="120" w:hanging="283"/>
      </w:pPr>
      <w:rPr>
        <w:rFonts w:hint="default" w:ascii="宋体" w:hAnsi="宋体" w:eastAsia="宋体" w:cs="宋体"/>
        <w:spacing w:val="-2"/>
        <w:w w:val="100"/>
        <w:sz w:val="26"/>
        <w:szCs w:val="26"/>
      </w:rPr>
    </w:lvl>
    <w:lvl w:ilvl="1" w:tentative="0">
      <w:start w:val="0"/>
      <w:numFmt w:val="bullet"/>
      <w:lvlText w:val="•"/>
      <w:lvlJc w:val="left"/>
      <w:pPr>
        <w:ind w:left="990" w:hanging="283"/>
      </w:pPr>
      <w:rPr>
        <w:rFonts w:hint="default"/>
      </w:rPr>
    </w:lvl>
    <w:lvl w:ilvl="2" w:tentative="0">
      <w:start w:val="0"/>
      <w:numFmt w:val="bullet"/>
      <w:lvlText w:val="•"/>
      <w:lvlJc w:val="left"/>
      <w:pPr>
        <w:ind w:left="1861" w:hanging="283"/>
      </w:pPr>
      <w:rPr>
        <w:rFonts w:hint="default"/>
      </w:rPr>
    </w:lvl>
    <w:lvl w:ilvl="3" w:tentative="0">
      <w:start w:val="0"/>
      <w:numFmt w:val="bullet"/>
      <w:lvlText w:val="•"/>
      <w:lvlJc w:val="left"/>
      <w:pPr>
        <w:ind w:left="2731" w:hanging="283"/>
      </w:pPr>
      <w:rPr>
        <w:rFonts w:hint="default"/>
      </w:rPr>
    </w:lvl>
    <w:lvl w:ilvl="4" w:tentative="0">
      <w:start w:val="0"/>
      <w:numFmt w:val="bullet"/>
      <w:lvlText w:val="•"/>
      <w:lvlJc w:val="left"/>
      <w:pPr>
        <w:ind w:left="3602" w:hanging="283"/>
      </w:pPr>
      <w:rPr>
        <w:rFonts w:hint="default"/>
      </w:rPr>
    </w:lvl>
    <w:lvl w:ilvl="5" w:tentative="0">
      <w:start w:val="0"/>
      <w:numFmt w:val="bullet"/>
      <w:lvlText w:val="•"/>
      <w:lvlJc w:val="left"/>
      <w:pPr>
        <w:ind w:left="4473" w:hanging="283"/>
      </w:pPr>
      <w:rPr>
        <w:rFonts w:hint="default"/>
      </w:rPr>
    </w:lvl>
    <w:lvl w:ilvl="6" w:tentative="0">
      <w:start w:val="0"/>
      <w:numFmt w:val="bullet"/>
      <w:lvlText w:val="•"/>
      <w:lvlJc w:val="left"/>
      <w:pPr>
        <w:ind w:left="5343" w:hanging="283"/>
      </w:pPr>
      <w:rPr>
        <w:rFonts w:hint="default"/>
      </w:rPr>
    </w:lvl>
    <w:lvl w:ilvl="7" w:tentative="0">
      <w:start w:val="0"/>
      <w:numFmt w:val="bullet"/>
      <w:lvlText w:val="•"/>
      <w:lvlJc w:val="left"/>
      <w:pPr>
        <w:ind w:left="6214" w:hanging="283"/>
      </w:pPr>
      <w:rPr>
        <w:rFonts w:hint="default"/>
      </w:rPr>
    </w:lvl>
    <w:lvl w:ilvl="8" w:tentative="0">
      <w:start w:val="0"/>
      <w:numFmt w:val="bullet"/>
      <w:lvlText w:val="•"/>
      <w:lvlJc w:val="left"/>
      <w:pPr>
        <w:ind w:left="7085" w:hanging="283"/>
      </w:pPr>
      <w:rPr>
        <w:rFonts w:hint="default"/>
      </w:rPr>
    </w:lvl>
  </w:abstractNum>
  <w:abstractNum w:abstractNumId="3">
    <w:nsid w:val="FFFFFF7C"/>
    <w:multiLevelType w:val="singleLevel"/>
    <w:tmpl w:val="FFFFFF7C"/>
    <w:lvl w:ilvl="0" w:tentative="0">
      <w:start w:val="1"/>
      <w:numFmt w:val="decimal"/>
      <w:pStyle w:val="15"/>
      <w:lvlText w:val="%1."/>
      <w:lvlJc w:val="left"/>
      <w:pPr>
        <w:tabs>
          <w:tab w:val="left" w:pos="2040"/>
        </w:tabs>
        <w:ind w:left="2040" w:hanging="360"/>
      </w:pPr>
      <w:rPr>
        <w:rFonts w:cs="Times New Roman"/>
      </w:rPr>
    </w:lvl>
  </w:abstractNum>
  <w:abstractNum w:abstractNumId="4">
    <w:nsid w:val="FFFFFF7D"/>
    <w:multiLevelType w:val="singleLevel"/>
    <w:tmpl w:val="FFFFFF7D"/>
    <w:lvl w:ilvl="0" w:tentative="0">
      <w:start w:val="1"/>
      <w:numFmt w:val="decimal"/>
      <w:pStyle w:val="259"/>
      <w:lvlText w:val="%1."/>
      <w:lvlJc w:val="left"/>
      <w:pPr>
        <w:tabs>
          <w:tab w:val="left" w:pos="1620"/>
        </w:tabs>
        <w:ind w:left="1620" w:hanging="360"/>
      </w:pPr>
      <w:rPr>
        <w:rFonts w:cs="Times New Roman"/>
      </w:rPr>
    </w:lvl>
  </w:abstractNum>
  <w:abstractNum w:abstractNumId="5">
    <w:nsid w:val="FFFFFF7E"/>
    <w:multiLevelType w:val="singleLevel"/>
    <w:tmpl w:val="FFFFFF7E"/>
    <w:lvl w:ilvl="0" w:tentative="0">
      <w:start w:val="1"/>
      <w:numFmt w:val="decimal"/>
      <w:pStyle w:val="46"/>
      <w:lvlText w:val="%1."/>
      <w:lvlJc w:val="left"/>
      <w:pPr>
        <w:tabs>
          <w:tab w:val="left" w:pos="1200"/>
        </w:tabs>
        <w:ind w:left="1200" w:hanging="360"/>
      </w:pPr>
      <w:rPr>
        <w:rFonts w:cs="Times New Roman"/>
      </w:rPr>
    </w:lvl>
  </w:abstractNum>
  <w:abstractNum w:abstractNumId="6">
    <w:nsid w:val="FFFFFF7F"/>
    <w:multiLevelType w:val="singleLevel"/>
    <w:tmpl w:val="FFFFFF7F"/>
    <w:lvl w:ilvl="0" w:tentative="0">
      <w:start w:val="1"/>
      <w:numFmt w:val="decimal"/>
      <w:pStyle w:val="21"/>
      <w:lvlText w:val="%1."/>
      <w:lvlJc w:val="left"/>
      <w:pPr>
        <w:tabs>
          <w:tab w:val="left" w:pos="780"/>
        </w:tabs>
        <w:ind w:left="780" w:hanging="360"/>
      </w:pPr>
      <w:rPr>
        <w:rFonts w:cs="Times New Roman"/>
      </w:rPr>
    </w:lvl>
  </w:abstractNum>
  <w:abstractNum w:abstractNumId="7">
    <w:nsid w:val="FFFFFF80"/>
    <w:multiLevelType w:val="singleLevel"/>
    <w:tmpl w:val="FFFFFF80"/>
    <w:lvl w:ilvl="0" w:tentative="0">
      <w:start w:val="1"/>
      <w:numFmt w:val="bullet"/>
      <w:pStyle w:val="25"/>
      <w:lvlText w:val=""/>
      <w:lvlJc w:val="left"/>
      <w:pPr>
        <w:tabs>
          <w:tab w:val="left" w:pos="2040"/>
        </w:tabs>
        <w:ind w:left="2040" w:hanging="360"/>
      </w:pPr>
      <w:rPr>
        <w:rFonts w:hint="default" w:ascii="Wingdings" w:hAnsi="Wingdings"/>
      </w:rPr>
    </w:lvl>
  </w:abstractNum>
  <w:abstractNum w:abstractNumId="8">
    <w:nsid w:val="FFFFFF81"/>
    <w:multiLevelType w:val="singleLevel"/>
    <w:tmpl w:val="FFFFFF81"/>
    <w:lvl w:ilvl="0" w:tentative="0">
      <w:start w:val="1"/>
      <w:numFmt w:val="bullet"/>
      <w:pStyle w:val="18"/>
      <w:lvlText w:val=""/>
      <w:lvlJc w:val="left"/>
      <w:pPr>
        <w:tabs>
          <w:tab w:val="left" w:pos="1620"/>
        </w:tabs>
        <w:ind w:left="1620" w:hanging="360"/>
      </w:pPr>
      <w:rPr>
        <w:rFonts w:hint="default" w:ascii="Wingdings" w:hAnsi="Wingdings"/>
      </w:rPr>
    </w:lvl>
  </w:abstractNum>
  <w:abstractNum w:abstractNumId="9">
    <w:nsid w:val="FFFFFF82"/>
    <w:multiLevelType w:val="singleLevel"/>
    <w:tmpl w:val="FFFFFF82"/>
    <w:lvl w:ilvl="0" w:tentative="0">
      <w:start w:val="1"/>
      <w:numFmt w:val="bullet"/>
      <w:pStyle w:val="261"/>
      <w:lvlText w:val=""/>
      <w:lvlJc w:val="left"/>
      <w:pPr>
        <w:tabs>
          <w:tab w:val="left" w:pos="1200"/>
        </w:tabs>
        <w:ind w:left="1200" w:hanging="360"/>
      </w:pPr>
      <w:rPr>
        <w:rFonts w:hint="default" w:ascii="Wingdings" w:hAnsi="Wingdings"/>
      </w:rPr>
    </w:lvl>
  </w:abstractNum>
  <w:abstractNum w:abstractNumId="10">
    <w:nsid w:val="FFFFFF83"/>
    <w:multiLevelType w:val="singleLevel"/>
    <w:tmpl w:val="FFFFFF83"/>
    <w:lvl w:ilvl="0" w:tentative="0">
      <w:start w:val="1"/>
      <w:numFmt w:val="bullet"/>
      <w:pStyle w:val="36"/>
      <w:lvlText w:val=""/>
      <w:lvlJc w:val="left"/>
      <w:pPr>
        <w:tabs>
          <w:tab w:val="left" w:pos="780"/>
        </w:tabs>
        <w:ind w:left="780" w:hanging="360"/>
      </w:pPr>
      <w:rPr>
        <w:rFonts w:hint="default" w:ascii="Wingdings" w:hAnsi="Wingdings"/>
      </w:rPr>
    </w:lvl>
  </w:abstractNum>
  <w:abstractNum w:abstractNumId="11">
    <w:nsid w:val="FFFFFF88"/>
    <w:multiLevelType w:val="singleLevel"/>
    <w:tmpl w:val="FFFFFF88"/>
    <w:lvl w:ilvl="0" w:tentative="0">
      <w:start w:val="1"/>
      <w:numFmt w:val="decimal"/>
      <w:pStyle w:val="34"/>
      <w:lvlText w:val="%1."/>
      <w:lvlJc w:val="left"/>
      <w:pPr>
        <w:tabs>
          <w:tab w:val="left" w:pos="360"/>
        </w:tabs>
        <w:ind w:left="360" w:hanging="360"/>
      </w:pPr>
      <w:rPr>
        <w:rFonts w:cs="Times New Roman"/>
      </w:rPr>
    </w:lvl>
  </w:abstractNum>
  <w:abstractNum w:abstractNumId="12">
    <w:nsid w:val="FFFFFF89"/>
    <w:multiLevelType w:val="singleLevel"/>
    <w:tmpl w:val="FFFFFF89"/>
    <w:lvl w:ilvl="0" w:tentative="0">
      <w:start w:val="1"/>
      <w:numFmt w:val="bullet"/>
      <w:lvlText w:val=""/>
      <w:lvlJc w:val="left"/>
      <w:pPr>
        <w:tabs>
          <w:tab w:val="left" w:pos="360"/>
        </w:tabs>
        <w:ind w:left="360" w:hanging="360"/>
      </w:pPr>
      <w:rPr>
        <w:rFonts w:hint="default" w:ascii="Wingdings" w:hAnsi="Wingdings"/>
      </w:rPr>
    </w:lvl>
  </w:abstractNum>
  <w:abstractNum w:abstractNumId="13">
    <w:nsid w:val="03D62ECE"/>
    <w:multiLevelType w:val="multilevel"/>
    <w:tmpl w:val="03D62ECE"/>
    <w:lvl w:ilvl="0" w:tentative="0">
      <w:start w:val="1"/>
      <w:numFmt w:val="decimal"/>
      <w:lvlText w:val="%1."/>
      <w:lvlJc w:val="left"/>
      <w:pPr>
        <w:ind w:left="120" w:hanging="303"/>
      </w:pPr>
      <w:rPr>
        <w:rFonts w:hint="default" w:ascii="宋体" w:hAnsi="宋体" w:eastAsia="宋体" w:cs="宋体"/>
        <w:spacing w:val="1"/>
        <w:w w:val="100"/>
        <w:sz w:val="28"/>
        <w:szCs w:val="28"/>
      </w:rPr>
    </w:lvl>
    <w:lvl w:ilvl="1" w:tentative="0">
      <w:start w:val="0"/>
      <w:numFmt w:val="bullet"/>
      <w:lvlText w:val="•"/>
      <w:lvlJc w:val="left"/>
      <w:pPr>
        <w:ind w:left="990" w:hanging="303"/>
      </w:pPr>
      <w:rPr>
        <w:rFonts w:hint="default"/>
      </w:rPr>
    </w:lvl>
    <w:lvl w:ilvl="2" w:tentative="0">
      <w:start w:val="0"/>
      <w:numFmt w:val="bullet"/>
      <w:lvlText w:val="•"/>
      <w:lvlJc w:val="left"/>
      <w:pPr>
        <w:ind w:left="1861" w:hanging="303"/>
      </w:pPr>
      <w:rPr>
        <w:rFonts w:hint="default"/>
      </w:rPr>
    </w:lvl>
    <w:lvl w:ilvl="3" w:tentative="0">
      <w:start w:val="0"/>
      <w:numFmt w:val="bullet"/>
      <w:lvlText w:val="•"/>
      <w:lvlJc w:val="left"/>
      <w:pPr>
        <w:ind w:left="2731" w:hanging="303"/>
      </w:pPr>
      <w:rPr>
        <w:rFonts w:hint="default"/>
      </w:rPr>
    </w:lvl>
    <w:lvl w:ilvl="4" w:tentative="0">
      <w:start w:val="0"/>
      <w:numFmt w:val="bullet"/>
      <w:lvlText w:val="•"/>
      <w:lvlJc w:val="left"/>
      <w:pPr>
        <w:ind w:left="3602" w:hanging="303"/>
      </w:pPr>
      <w:rPr>
        <w:rFonts w:hint="default"/>
      </w:rPr>
    </w:lvl>
    <w:lvl w:ilvl="5" w:tentative="0">
      <w:start w:val="0"/>
      <w:numFmt w:val="bullet"/>
      <w:lvlText w:val="•"/>
      <w:lvlJc w:val="left"/>
      <w:pPr>
        <w:ind w:left="4473" w:hanging="303"/>
      </w:pPr>
      <w:rPr>
        <w:rFonts w:hint="default"/>
      </w:rPr>
    </w:lvl>
    <w:lvl w:ilvl="6" w:tentative="0">
      <w:start w:val="0"/>
      <w:numFmt w:val="bullet"/>
      <w:lvlText w:val="•"/>
      <w:lvlJc w:val="left"/>
      <w:pPr>
        <w:ind w:left="5343" w:hanging="303"/>
      </w:pPr>
      <w:rPr>
        <w:rFonts w:hint="default"/>
      </w:rPr>
    </w:lvl>
    <w:lvl w:ilvl="7" w:tentative="0">
      <w:start w:val="0"/>
      <w:numFmt w:val="bullet"/>
      <w:lvlText w:val="•"/>
      <w:lvlJc w:val="left"/>
      <w:pPr>
        <w:ind w:left="6214" w:hanging="303"/>
      </w:pPr>
      <w:rPr>
        <w:rFonts w:hint="default"/>
      </w:rPr>
    </w:lvl>
    <w:lvl w:ilvl="8" w:tentative="0">
      <w:start w:val="0"/>
      <w:numFmt w:val="bullet"/>
      <w:lvlText w:val="•"/>
      <w:lvlJc w:val="left"/>
      <w:pPr>
        <w:ind w:left="7085" w:hanging="303"/>
      </w:pPr>
      <w:rPr>
        <w:rFonts w:hint="default"/>
      </w:rPr>
    </w:lvl>
  </w:abstractNum>
  <w:abstractNum w:abstractNumId="14">
    <w:nsid w:val="0E640482"/>
    <w:multiLevelType w:val="multilevel"/>
    <w:tmpl w:val="0E640482"/>
    <w:lvl w:ilvl="0" w:tentative="0">
      <w:start w:val="1"/>
      <w:numFmt w:val="decimal"/>
      <w:lvlText w:val="%1."/>
      <w:lvlJc w:val="left"/>
      <w:pPr>
        <w:ind w:left="120" w:hanging="288"/>
      </w:pPr>
      <w:rPr>
        <w:rFonts w:hint="default" w:ascii="宋体" w:hAnsi="宋体" w:eastAsia="宋体" w:cs="宋体"/>
        <w:spacing w:val="1"/>
        <w:w w:val="100"/>
        <w:sz w:val="26"/>
        <w:szCs w:val="26"/>
      </w:rPr>
    </w:lvl>
    <w:lvl w:ilvl="1" w:tentative="0">
      <w:start w:val="1"/>
      <w:numFmt w:val="decimal"/>
      <w:lvlText w:val="%2."/>
      <w:lvlJc w:val="left"/>
      <w:pPr>
        <w:ind w:left="1082" w:hanging="322"/>
      </w:pPr>
      <w:rPr>
        <w:rFonts w:hint="default" w:ascii="黑体" w:hAnsi="黑体" w:eastAsia="黑体" w:cs="黑体"/>
        <w:spacing w:val="1"/>
        <w:w w:val="99"/>
        <w:sz w:val="30"/>
        <w:szCs w:val="30"/>
      </w:rPr>
    </w:lvl>
    <w:lvl w:ilvl="2" w:tentative="0">
      <w:start w:val="0"/>
      <w:numFmt w:val="bullet"/>
      <w:lvlText w:val="•"/>
      <w:lvlJc w:val="left"/>
      <w:pPr>
        <w:ind w:left="1940" w:hanging="322"/>
      </w:pPr>
      <w:rPr>
        <w:rFonts w:hint="default"/>
      </w:rPr>
    </w:lvl>
    <w:lvl w:ilvl="3" w:tentative="0">
      <w:start w:val="0"/>
      <w:numFmt w:val="bullet"/>
      <w:lvlText w:val="•"/>
      <w:lvlJc w:val="left"/>
      <w:pPr>
        <w:ind w:left="2801" w:hanging="322"/>
      </w:pPr>
      <w:rPr>
        <w:rFonts w:hint="default"/>
      </w:rPr>
    </w:lvl>
    <w:lvl w:ilvl="4" w:tentative="0">
      <w:start w:val="0"/>
      <w:numFmt w:val="bullet"/>
      <w:lvlText w:val="•"/>
      <w:lvlJc w:val="left"/>
      <w:pPr>
        <w:ind w:left="3662" w:hanging="322"/>
      </w:pPr>
      <w:rPr>
        <w:rFonts w:hint="default"/>
      </w:rPr>
    </w:lvl>
    <w:lvl w:ilvl="5" w:tentative="0">
      <w:start w:val="0"/>
      <w:numFmt w:val="bullet"/>
      <w:lvlText w:val="•"/>
      <w:lvlJc w:val="left"/>
      <w:pPr>
        <w:ind w:left="4522" w:hanging="322"/>
      </w:pPr>
      <w:rPr>
        <w:rFonts w:hint="default"/>
      </w:rPr>
    </w:lvl>
    <w:lvl w:ilvl="6" w:tentative="0">
      <w:start w:val="0"/>
      <w:numFmt w:val="bullet"/>
      <w:lvlText w:val="•"/>
      <w:lvlJc w:val="left"/>
      <w:pPr>
        <w:ind w:left="5383" w:hanging="322"/>
      </w:pPr>
      <w:rPr>
        <w:rFonts w:hint="default"/>
      </w:rPr>
    </w:lvl>
    <w:lvl w:ilvl="7" w:tentative="0">
      <w:start w:val="0"/>
      <w:numFmt w:val="bullet"/>
      <w:lvlText w:val="•"/>
      <w:lvlJc w:val="left"/>
      <w:pPr>
        <w:ind w:left="6244" w:hanging="322"/>
      </w:pPr>
      <w:rPr>
        <w:rFonts w:hint="default"/>
      </w:rPr>
    </w:lvl>
    <w:lvl w:ilvl="8" w:tentative="0">
      <w:start w:val="0"/>
      <w:numFmt w:val="bullet"/>
      <w:lvlText w:val="•"/>
      <w:lvlJc w:val="left"/>
      <w:pPr>
        <w:ind w:left="7104" w:hanging="322"/>
      </w:pPr>
      <w:rPr>
        <w:rFonts w:hint="default"/>
      </w:rPr>
    </w:lvl>
  </w:abstractNum>
  <w:abstractNum w:abstractNumId="15">
    <w:nsid w:val="777F0C3B"/>
    <w:multiLevelType w:val="multilevel"/>
    <w:tmpl w:val="777F0C3B"/>
    <w:lvl w:ilvl="0" w:tentative="0">
      <w:start w:val="3"/>
      <w:numFmt w:val="decimal"/>
      <w:lvlText w:val="%1."/>
      <w:lvlJc w:val="left"/>
      <w:pPr>
        <w:ind w:left="828" w:hanging="480"/>
      </w:pPr>
      <w:rPr>
        <w:rFonts w:hint="default" w:ascii="黑体" w:hAnsi="黑体" w:eastAsia="黑体" w:cs="黑体"/>
        <w:spacing w:val="0"/>
        <w:w w:val="99"/>
        <w:sz w:val="32"/>
        <w:szCs w:val="32"/>
      </w:rPr>
    </w:lvl>
    <w:lvl w:ilvl="1" w:tentative="0">
      <w:start w:val="1"/>
      <w:numFmt w:val="decimal"/>
      <w:lvlText w:val="%1.%2"/>
      <w:lvlJc w:val="left"/>
      <w:pPr>
        <w:ind w:left="915" w:hanging="490"/>
      </w:pPr>
      <w:rPr>
        <w:rFonts w:hint="default" w:cs="Times New Roman"/>
        <w:spacing w:val="-2"/>
        <w:w w:val="100"/>
      </w:rPr>
    </w:lvl>
    <w:lvl w:ilvl="2" w:tentative="0">
      <w:start w:val="0"/>
      <w:numFmt w:val="bullet"/>
      <w:lvlText w:val="•"/>
      <w:lvlJc w:val="left"/>
      <w:pPr>
        <w:ind w:left="1905" w:hanging="490"/>
      </w:pPr>
      <w:rPr>
        <w:rFonts w:hint="default"/>
      </w:rPr>
    </w:lvl>
    <w:lvl w:ilvl="3" w:tentative="0">
      <w:start w:val="0"/>
      <w:numFmt w:val="bullet"/>
      <w:lvlText w:val="•"/>
      <w:lvlJc w:val="left"/>
      <w:pPr>
        <w:ind w:left="2770" w:hanging="490"/>
      </w:pPr>
      <w:rPr>
        <w:rFonts w:hint="default"/>
      </w:rPr>
    </w:lvl>
    <w:lvl w:ilvl="4" w:tentative="0">
      <w:start w:val="0"/>
      <w:numFmt w:val="bullet"/>
      <w:lvlText w:val="•"/>
      <w:lvlJc w:val="left"/>
      <w:pPr>
        <w:ind w:left="3635" w:hanging="490"/>
      </w:pPr>
      <w:rPr>
        <w:rFonts w:hint="default"/>
      </w:rPr>
    </w:lvl>
    <w:lvl w:ilvl="5" w:tentative="0">
      <w:start w:val="0"/>
      <w:numFmt w:val="bullet"/>
      <w:lvlText w:val="•"/>
      <w:lvlJc w:val="left"/>
      <w:pPr>
        <w:ind w:left="4500" w:hanging="490"/>
      </w:pPr>
      <w:rPr>
        <w:rFonts w:hint="default"/>
      </w:rPr>
    </w:lvl>
    <w:lvl w:ilvl="6" w:tentative="0">
      <w:start w:val="0"/>
      <w:numFmt w:val="bullet"/>
      <w:lvlText w:val="•"/>
      <w:lvlJc w:val="left"/>
      <w:pPr>
        <w:ind w:left="5365" w:hanging="490"/>
      </w:pPr>
      <w:rPr>
        <w:rFonts w:hint="default"/>
      </w:rPr>
    </w:lvl>
    <w:lvl w:ilvl="7" w:tentative="0">
      <w:start w:val="0"/>
      <w:numFmt w:val="bullet"/>
      <w:lvlText w:val="•"/>
      <w:lvlJc w:val="left"/>
      <w:pPr>
        <w:ind w:left="6230" w:hanging="490"/>
      </w:pPr>
      <w:rPr>
        <w:rFonts w:hint="default"/>
      </w:rPr>
    </w:lvl>
    <w:lvl w:ilvl="8" w:tentative="0">
      <w:start w:val="0"/>
      <w:numFmt w:val="bullet"/>
      <w:lvlText w:val="•"/>
      <w:lvlJc w:val="left"/>
      <w:pPr>
        <w:ind w:left="7096" w:hanging="490"/>
      </w:pPr>
      <w:rPr>
        <w:rFonts w:hint="default"/>
      </w:rPr>
    </w:lvl>
  </w:abstractNum>
  <w:num w:numId="1">
    <w:abstractNumId w:val="3"/>
  </w:num>
  <w:num w:numId="2">
    <w:abstractNumId w:val="8"/>
  </w:num>
  <w:num w:numId="3">
    <w:abstractNumId w:val="6"/>
  </w:num>
  <w:num w:numId="4">
    <w:abstractNumId w:val="7"/>
  </w:num>
  <w:num w:numId="5">
    <w:abstractNumId w:val="11"/>
  </w:num>
  <w:num w:numId="6">
    <w:abstractNumId w:val="10"/>
  </w:num>
  <w:num w:numId="7">
    <w:abstractNumId w:val="5"/>
  </w:num>
  <w:num w:numId="8">
    <w:abstractNumId w:val="12"/>
  </w:num>
  <w:num w:numId="9">
    <w:abstractNumId w:val="4"/>
  </w:num>
  <w:num w:numId="10">
    <w:abstractNumId w:val="9"/>
  </w:num>
  <w:num w:numId="11">
    <w:abstractNumId w:val="13"/>
  </w:num>
  <w:num w:numId="12">
    <w:abstractNumId w:val="2"/>
  </w:num>
  <w:num w:numId="13">
    <w:abstractNumId w:val="1"/>
  </w:num>
  <w:num w:numId="14">
    <w:abstractNumId w:val="15"/>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WYwNzEzMWZiNTk3YjdjZjMzMmNlZjMxODQyN2UwNjMifQ=="/>
  </w:docVars>
  <w:rsids>
    <w:rsidRoot w:val="0021564F"/>
    <w:rsid w:val="00084CFE"/>
    <w:rsid w:val="000B57BD"/>
    <w:rsid w:val="00110223"/>
    <w:rsid w:val="00167C5E"/>
    <w:rsid w:val="0021564F"/>
    <w:rsid w:val="00243262"/>
    <w:rsid w:val="003564C3"/>
    <w:rsid w:val="0036547F"/>
    <w:rsid w:val="003B4D32"/>
    <w:rsid w:val="003C13CC"/>
    <w:rsid w:val="004C581A"/>
    <w:rsid w:val="006F727E"/>
    <w:rsid w:val="0083137D"/>
    <w:rsid w:val="00914B88"/>
    <w:rsid w:val="00A07E75"/>
    <w:rsid w:val="00A777A8"/>
    <w:rsid w:val="00A80069"/>
    <w:rsid w:val="00AB133F"/>
    <w:rsid w:val="00B630EB"/>
    <w:rsid w:val="00B81530"/>
    <w:rsid w:val="00B81D72"/>
    <w:rsid w:val="00BA5785"/>
    <w:rsid w:val="00BB755E"/>
    <w:rsid w:val="00C374FA"/>
    <w:rsid w:val="00C761B8"/>
    <w:rsid w:val="00E602E6"/>
    <w:rsid w:val="00FD13E7"/>
    <w:rsid w:val="314D1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99" w:semiHidden="0" w:name="index 1"/>
    <w:lsdException w:unhideWhenUsed="0" w:uiPriority="99" w:name="index 2"/>
    <w:lsdException w:unhideWhenUsed="0" w:uiPriority="99" w:name="index 3"/>
    <w:lsdException w:unhideWhenUsed="0" w:uiPriority="99" w:name="index 4"/>
    <w:lsdException w:qFormat="1" w:unhideWhenUsed="0" w:uiPriority="99" w:name="index 5"/>
    <w:lsdException w:qFormat="1" w:unhideWhenUsed="0" w:uiPriority="99" w:name="index 6"/>
    <w:lsdException w:unhideWhenUsed="0" w:uiPriority="99" w:name="index 7"/>
    <w:lsdException w:unhideWhenUsed="0" w:uiPriority="99" w:name="index 8"/>
    <w:lsdException w:unhideWhenUsed="0" w:uiPriority="99" w:name="index 9"/>
    <w:lsdException w:unhideWhenUsed="0" w:uiPriority="99" w:semiHidden="0" w:name="toc 1"/>
    <w:lsdException w:qFormat="1" w:unhideWhenUsed="0" w:uiPriority="99" w:semiHidden="0" w:name="toc 2"/>
    <w:lsdException w:qFormat="1" w:unhideWhenUsed="0" w:uiPriority="99" w:semiHidden="0" w:name="toc 3"/>
    <w:lsdException w:unhideWhenUsed="0" w:uiPriority="99" w:semiHidden="0" w:name="toc 4"/>
    <w:lsdException w:unhideWhenUsed="0" w:uiPriority="99" w:semiHidden="0" w:name="toc 5"/>
    <w:lsdException w:qFormat="1" w:unhideWhenUsed="0" w:uiPriority="99" w:semiHidden="0" w:name="toc 6"/>
    <w:lsdException w:unhideWhenUsed="0" w:uiPriority="99" w:semiHidden="0" w:name="toc 7"/>
    <w:lsdException w:qFormat="1" w:unhideWhenUsed="0" w:uiPriority="99" w:semiHidden="0" w:name="toc 8"/>
    <w:lsdException w:unhideWhenUsed="0" w:uiPriority="99" w:semiHidden="0" w:name="toc 9"/>
    <w:lsdException w:unhideWhenUsed="0" w:uiPriority="99" w:semiHidden="0" w:name="Normal Indent"/>
    <w:lsdException w:qFormat="1" w:unhideWhenUsed="0" w:uiPriority="99" w:semiHidden="0" w:name="footnote text"/>
    <w:lsdException w:unhideWhenUsed="0" w:uiPriority="99" w:semiHidden="0" w:name="annotation text"/>
    <w:lsdException w:unhideWhenUsed="0" w:uiPriority="99" w:semiHidden="0" w:name="header"/>
    <w:lsdException w:unhideWhenUsed="0" w:uiPriority="99" w:semiHidden="0" w:name="footer"/>
    <w:lsdException w:unhideWhenUsed="0" w:uiPriority="99" w:name="index heading"/>
    <w:lsdException w:qFormat="1" w:unhideWhenUsed="0" w:uiPriority="99" w:semiHidden="0"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iPriority="99" w:name="line number" w:locked="1"/>
    <w:lsdException w:unhideWhenUsed="0" w:uiPriority="99" w:semiHidden="0" w:name="page number"/>
    <w:lsdException w:qFormat="1" w:unhideWhenUsed="0" w:uiPriority="99" w:semiHidden="0" w:name="endnote reference"/>
    <w:lsdException w:qFormat="1" w:unhideWhenUsed="0" w:uiPriority="99" w:semiHidden="0" w:name="endnote text"/>
    <w:lsdException w:unhideWhenUsed="0" w:uiPriority="99" w:name="table of authorities"/>
    <w:lsdException w:unhideWhenUsed="0" w:uiPriority="99" w:name="macro"/>
    <w:lsdException w:unhideWhenUsed="0" w:uiPriority="99" w:name="toa heading"/>
    <w:lsdException w:qFormat="1" w:unhideWhenUsed="0" w:uiPriority="99" w:semiHidden="0" w:name="List"/>
    <w:lsdException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unhideWhenUsed="0" w:uiPriority="99" w:semiHidden="0" w:name="List 5"/>
    <w:lsdException w:qFormat="1"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qFormat="1"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qFormat="1" w:unhideWhenUsed="0" w:uiPriority="99" w:semiHidden="0" w:name="Title"/>
    <w:lsdException w:qFormat="1" w:unhideWhenUsed="0" w:uiPriority="99" w:semiHidden="0" w:name="Closing"/>
    <w:lsdException w:unhideWhenUsed="0" w:uiPriority="99" w:semiHidden="0" w:name="Signature"/>
    <w:lsdException w:qFormat="1" w:uiPriority="1" w:name="Default Paragraph Font"/>
    <w:lsdException w:unhideWhenUsed="0" w:uiPriority="99" w:semiHidden="0" w:name="Body Text"/>
    <w:lsdException w:unhideWhenUsed="0"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unhideWhenUsed="0" w:uiPriority="99" w:semiHidden="0" w:name="Body Text First Indent"/>
    <w:lsdException w:qFormat="1" w:unhideWhenUsed="0" w:uiPriority="99" w:semiHidden="0" w:name="Body Text First Indent 2"/>
    <w:lsdException w:unhideWhenUsed="0" w:uiPriority="99" w:semiHidden="0" w:name="Note Heading"/>
    <w:lsdException w:unhideWhenUsed="0" w:uiPriority="99" w:semiHidden="0" w:name="Body Text 2"/>
    <w:lsdException w:qFormat="1" w:unhideWhenUsed="0" w:uiPriority="99" w:semiHidden="0" w:name="Body Text 3"/>
    <w:lsdException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unhideWhenUsed="0" w:uiPriority="99" w:semiHidden="0" w:name="Plain Text"/>
    <w:lsdException w:unhideWhenUsed="0" w:uiPriority="99" w:semiHidden="0" w:name="E-mail Signature"/>
    <w:lsdException w:qFormat="1" w:unhideWhenUsed="0" w:uiPriority="99" w:semiHidden="0" w:name="Normal (Web)"/>
    <w:lsdException w:uiPriority="99" w:name="HTML Acronym" w:locked="1"/>
    <w:lsdException w:unhideWhenUsed="0" w:uiPriority="99" w:semiHidden="0" w:name="HTML Address"/>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qFormat="1" w:unhideWhenUsed="0" w:uiPriority="99" w:semiHidden="0" w:name="Table 3D effects 3"/>
    <w:lsdException w:qFormat="1" w:unhideWhenUsed="0" w:uiPriority="99" w:semiHidden="0" w:name="Table Contemporary"/>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link w:val="101"/>
    <w:qFormat/>
    <w:uiPriority w:val="99"/>
    <w:pPr>
      <w:widowControl/>
      <w:spacing w:line="600" w:lineRule="exact"/>
      <w:ind w:firstLine="200" w:firstLineChars="200"/>
      <w:jc w:val="left"/>
      <w:outlineLvl w:val="0"/>
    </w:pPr>
    <w:rPr>
      <w:rFonts w:ascii="宋体" w:hAnsi="宋体" w:eastAsia="黑体"/>
      <w:b/>
      <w:bCs/>
      <w:kern w:val="36"/>
      <w:sz w:val="32"/>
      <w:szCs w:val="48"/>
    </w:rPr>
  </w:style>
  <w:style w:type="paragraph" w:styleId="5">
    <w:name w:val="heading 2"/>
    <w:basedOn w:val="1"/>
    <w:next w:val="1"/>
    <w:link w:val="102"/>
    <w:qFormat/>
    <w:uiPriority w:val="99"/>
    <w:pPr>
      <w:keepNext/>
      <w:keepLines/>
      <w:spacing w:before="260" w:after="260" w:line="416" w:lineRule="auto"/>
      <w:outlineLvl w:val="1"/>
    </w:pPr>
    <w:rPr>
      <w:rFonts w:ascii="Cambria" w:hAnsi="Cambria"/>
      <w:b/>
      <w:bCs/>
      <w:kern w:val="0"/>
      <w:sz w:val="32"/>
      <w:szCs w:val="32"/>
    </w:rPr>
  </w:style>
  <w:style w:type="paragraph" w:styleId="6">
    <w:name w:val="heading 3"/>
    <w:basedOn w:val="1"/>
    <w:next w:val="1"/>
    <w:link w:val="103"/>
    <w:qFormat/>
    <w:uiPriority w:val="99"/>
    <w:pPr>
      <w:keepNext/>
      <w:keepLines/>
      <w:spacing w:before="260" w:after="260" w:line="416" w:lineRule="auto"/>
      <w:outlineLvl w:val="2"/>
    </w:pPr>
    <w:rPr>
      <w:b/>
      <w:bCs/>
      <w:kern w:val="0"/>
      <w:sz w:val="32"/>
      <w:szCs w:val="32"/>
    </w:rPr>
  </w:style>
  <w:style w:type="paragraph" w:styleId="7">
    <w:name w:val="heading 4"/>
    <w:basedOn w:val="1"/>
    <w:next w:val="1"/>
    <w:link w:val="104"/>
    <w:qFormat/>
    <w:uiPriority w:val="99"/>
    <w:pPr>
      <w:keepNext/>
      <w:keepLines/>
      <w:autoSpaceDE w:val="0"/>
      <w:autoSpaceDN w:val="0"/>
      <w:spacing w:before="280" w:after="290" w:line="376" w:lineRule="auto"/>
      <w:jc w:val="left"/>
      <w:outlineLvl w:val="3"/>
    </w:pPr>
    <w:rPr>
      <w:rFonts w:ascii="Calibri Light" w:hAnsi="Calibri Light"/>
      <w:b/>
      <w:bCs/>
      <w:kern w:val="0"/>
      <w:sz w:val="28"/>
      <w:szCs w:val="28"/>
      <w:lang w:eastAsia="en-US"/>
    </w:rPr>
  </w:style>
  <w:style w:type="paragraph" w:styleId="8">
    <w:name w:val="heading 5"/>
    <w:basedOn w:val="1"/>
    <w:next w:val="1"/>
    <w:link w:val="105"/>
    <w:qFormat/>
    <w:uiPriority w:val="99"/>
    <w:pPr>
      <w:autoSpaceDE w:val="0"/>
      <w:autoSpaceDN w:val="0"/>
      <w:ind w:left="120"/>
      <w:jc w:val="left"/>
      <w:outlineLvl w:val="4"/>
    </w:pPr>
    <w:rPr>
      <w:rFonts w:ascii="宋体" w:hAnsi="宋体"/>
      <w:kern w:val="0"/>
      <w:sz w:val="30"/>
      <w:szCs w:val="30"/>
      <w:lang w:eastAsia="en-US"/>
    </w:rPr>
  </w:style>
  <w:style w:type="paragraph" w:styleId="9">
    <w:name w:val="heading 6"/>
    <w:basedOn w:val="1"/>
    <w:next w:val="1"/>
    <w:link w:val="106"/>
    <w:qFormat/>
    <w:uiPriority w:val="99"/>
    <w:pPr>
      <w:keepNext/>
      <w:keepLines/>
      <w:spacing w:before="240" w:after="64" w:line="320" w:lineRule="auto"/>
      <w:outlineLvl w:val="5"/>
    </w:pPr>
    <w:rPr>
      <w:rFonts w:ascii="Arial" w:hAnsi="Arial" w:eastAsia="黑体"/>
      <w:b/>
      <w:bCs/>
      <w:sz w:val="24"/>
      <w:szCs w:val="24"/>
      <w:lang w:val="zh-CN"/>
    </w:rPr>
  </w:style>
  <w:style w:type="paragraph" w:styleId="10">
    <w:name w:val="heading 7"/>
    <w:basedOn w:val="1"/>
    <w:next w:val="1"/>
    <w:link w:val="107"/>
    <w:qFormat/>
    <w:uiPriority w:val="99"/>
    <w:pPr>
      <w:keepNext/>
      <w:keepLines/>
      <w:spacing w:before="240" w:after="64" w:line="320" w:lineRule="auto"/>
      <w:outlineLvl w:val="6"/>
    </w:pPr>
    <w:rPr>
      <w:b/>
      <w:bCs/>
      <w:sz w:val="24"/>
      <w:szCs w:val="24"/>
      <w:lang w:val="zh-CN"/>
    </w:rPr>
  </w:style>
  <w:style w:type="paragraph" w:styleId="11">
    <w:name w:val="heading 8"/>
    <w:basedOn w:val="1"/>
    <w:next w:val="1"/>
    <w:link w:val="108"/>
    <w:qFormat/>
    <w:uiPriority w:val="99"/>
    <w:pPr>
      <w:keepNext/>
      <w:keepLines/>
      <w:spacing w:before="240" w:after="64" w:line="320" w:lineRule="auto"/>
      <w:outlineLvl w:val="7"/>
    </w:pPr>
    <w:rPr>
      <w:rFonts w:ascii="Arial" w:hAnsi="Arial" w:eastAsia="黑体"/>
      <w:sz w:val="24"/>
      <w:szCs w:val="24"/>
      <w:lang w:val="zh-CN"/>
    </w:rPr>
  </w:style>
  <w:style w:type="paragraph" w:styleId="12">
    <w:name w:val="heading 9"/>
    <w:basedOn w:val="1"/>
    <w:next w:val="1"/>
    <w:link w:val="109"/>
    <w:qFormat/>
    <w:uiPriority w:val="99"/>
    <w:pPr>
      <w:keepNext/>
      <w:keepLines/>
      <w:spacing w:before="240" w:after="64" w:line="320" w:lineRule="auto"/>
      <w:outlineLvl w:val="8"/>
    </w:pPr>
    <w:rPr>
      <w:rFonts w:ascii="Arial" w:hAnsi="Arial" w:eastAsia="黑体"/>
      <w:szCs w:val="21"/>
      <w:lang w:val="zh-CN"/>
    </w:rPr>
  </w:style>
  <w:style w:type="character" w:default="1" w:styleId="92">
    <w:name w:val="Default Paragraph Font"/>
    <w:semiHidden/>
    <w:unhideWhenUsed/>
    <w:qFormat/>
    <w:uiPriority w:val="1"/>
  </w:style>
  <w:style w:type="table" w:default="1" w:styleId="88">
    <w:name w:val="Normal Table"/>
    <w:semiHidden/>
    <w:unhideWhenUsed/>
    <w:uiPriority w:val="99"/>
    <w:tblPr>
      <w:tblCellMar>
        <w:top w:w="0" w:type="dxa"/>
        <w:left w:w="108" w:type="dxa"/>
        <w:bottom w:w="0" w:type="dxa"/>
        <w:right w:w="108" w:type="dxa"/>
      </w:tblCellMar>
    </w:tblPr>
  </w:style>
  <w:style w:type="paragraph" w:styleId="2">
    <w:name w:val="Body Text"/>
    <w:basedOn w:val="1"/>
    <w:link w:val="276"/>
    <w:uiPriority w:val="99"/>
    <w:pPr>
      <w:jc w:val="center"/>
    </w:pPr>
    <w:rPr>
      <w:rFonts w:eastAsia="黑体"/>
      <w:kern w:val="0"/>
      <w:sz w:val="44"/>
      <w:szCs w:val="20"/>
    </w:rPr>
  </w:style>
  <w:style w:type="paragraph" w:styleId="3">
    <w:name w:val="macro"/>
    <w:link w:val="271"/>
    <w:semiHidden/>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等线" w:cs="Times New Roman"/>
      <w:kern w:val="2"/>
      <w:sz w:val="24"/>
      <w:szCs w:val="20"/>
      <w:lang w:val="en-US" w:eastAsia="zh-CN" w:bidi="ar-SA"/>
    </w:rPr>
  </w:style>
  <w:style w:type="paragraph" w:styleId="13">
    <w:name w:val="List 3"/>
    <w:basedOn w:val="1"/>
    <w:qFormat/>
    <w:uiPriority w:val="99"/>
    <w:pPr>
      <w:spacing w:line="360" w:lineRule="auto"/>
      <w:ind w:left="100" w:leftChars="400" w:hanging="200" w:hangingChars="200"/>
    </w:pPr>
    <w:rPr>
      <w:szCs w:val="24"/>
    </w:rPr>
  </w:style>
  <w:style w:type="paragraph" w:styleId="14">
    <w:name w:val="toc 7"/>
    <w:basedOn w:val="1"/>
    <w:next w:val="1"/>
    <w:uiPriority w:val="99"/>
    <w:pPr>
      <w:spacing w:line="360" w:lineRule="auto"/>
      <w:ind w:left="1260"/>
      <w:jc w:val="left"/>
    </w:pPr>
    <w:rPr>
      <w:rFonts w:cs="Calibri"/>
      <w:sz w:val="18"/>
      <w:szCs w:val="18"/>
    </w:rPr>
  </w:style>
  <w:style w:type="paragraph" w:styleId="15">
    <w:name w:val="List Number 2"/>
    <w:basedOn w:val="1"/>
    <w:qFormat/>
    <w:uiPriority w:val="99"/>
    <w:pPr>
      <w:numPr>
        <w:ilvl w:val="0"/>
        <w:numId w:val="1"/>
      </w:numPr>
      <w:tabs>
        <w:tab w:val="left" w:pos="780"/>
        <w:tab w:val="clear" w:pos="2040"/>
      </w:tabs>
      <w:spacing w:line="360" w:lineRule="auto"/>
      <w:ind w:left="780"/>
    </w:pPr>
    <w:rPr>
      <w:szCs w:val="24"/>
    </w:rPr>
  </w:style>
  <w:style w:type="paragraph" w:styleId="16">
    <w:name w:val="table of authorities"/>
    <w:basedOn w:val="1"/>
    <w:next w:val="1"/>
    <w:semiHidden/>
    <w:uiPriority w:val="99"/>
    <w:pPr>
      <w:spacing w:line="360" w:lineRule="auto"/>
      <w:ind w:left="420" w:leftChars="200"/>
    </w:pPr>
    <w:rPr>
      <w:szCs w:val="24"/>
    </w:rPr>
  </w:style>
  <w:style w:type="paragraph" w:styleId="17">
    <w:name w:val="Note Heading"/>
    <w:basedOn w:val="1"/>
    <w:next w:val="1"/>
    <w:link w:val="299"/>
    <w:uiPriority w:val="99"/>
    <w:pPr>
      <w:spacing w:line="360" w:lineRule="auto"/>
      <w:jc w:val="center"/>
    </w:pPr>
    <w:rPr>
      <w:rFonts w:eastAsia="等线"/>
      <w:kern w:val="0"/>
      <w:sz w:val="24"/>
      <w:szCs w:val="20"/>
      <w:lang w:val="zh-CN"/>
    </w:rPr>
  </w:style>
  <w:style w:type="paragraph" w:styleId="18">
    <w:name w:val="List Bullet 4"/>
    <w:basedOn w:val="1"/>
    <w:uiPriority w:val="99"/>
    <w:pPr>
      <w:numPr>
        <w:ilvl w:val="0"/>
        <w:numId w:val="2"/>
      </w:numPr>
      <w:spacing w:line="360" w:lineRule="auto"/>
    </w:pPr>
    <w:rPr>
      <w:szCs w:val="24"/>
    </w:rPr>
  </w:style>
  <w:style w:type="paragraph" w:styleId="19">
    <w:name w:val="index 8"/>
    <w:basedOn w:val="1"/>
    <w:next w:val="1"/>
    <w:semiHidden/>
    <w:uiPriority w:val="99"/>
    <w:pPr>
      <w:spacing w:line="360" w:lineRule="auto"/>
      <w:ind w:left="1400" w:leftChars="1400"/>
    </w:pPr>
    <w:rPr>
      <w:szCs w:val="24"/>
    </w:rPr>
  </w:style>
  <w:style w:type="paragraph" w:styleId="20">
    <w:name w:val="E-mail Signature"/>
    <w:basedOn w:val="1"/>
    <w:link w:val="262"/>
    <w:uiPriority w:val="99"/>
    <w:pPr>
      <w:spacing w:line="360" w:lineRule="auto"/>
    </w:pPr>
    <w:rPr>
      <w:rFonts w:eastAsia="等线"/>
      <w:kern w:val="0"/>
      <w:sz w:val="24"/>
      <w:szCs w:val="20"/>
      <w:lang w:val="zh-CN"/>
    </w:rPr>
  </w:style>
  <w:style w:type="paragraph" w:styleId="21">
    <w:name w:val="List Number"/>
    <w:basedOn w:val="1"/>
    <w:qFormat/>
    <w:uiPriority w:val="99"/>
    <w:pPr>
      <w:numPr>
        <w:ilvl w:val="0"/>
        <w:numId w:val="3"/>
      </w:numPr>
      <w:tabs>
        <w:tab w:val="left" w:pos="360"/>
        <w:tab w:val="clear" w:pos="780"/>
      </w:tabs>
      <w:spacing w:line="360" w:lineRule="auto"/>
      <w:ind w:left="360"/>
    </w:pPr>
    <w:rPr>
      <w:szCs w:val="24"/>
    </w:rPr>
  </w:style>
  <w:style w:type="paragraph" w:styleId="22">
    <w:name w:val="Normal Indent"/>
    <w:basedOn w:val="1"/>
    <w:uiPriority w:val="99"/>
    <w:pPr>
      <w:spacing w:line="360" w:lineRule="auto"/>
      <w:ind w:firstLine="420" w:firstLineChars="200"/>
    </w:pPr>
    <w:rPr>
      <w:szCs w:val="24"/>
    </w:rPr>
  </w:style>
  <w:style w:type="paragraph" w:styleId="23">
    <w:name w:val="caption"/>
    <w:basedOn w:val="1"/>
    <w:next w:val="1"/>
    <w:link w:val="134"/>
    <w:qFormat/>
    <w:uiPriority w:val="99"/>
    <w:pPr>
      <w:ind w:left="420" w:leftChars="200"/>
      <w:jc w:val="center"/>
    </w:pPr>
    <w:rPr>
      <w:rFonts w:ascii="等线" w:eastAsia="等线"/>
      <w:b/>
      <w:kern w:val="0"/>
      <w:sz w:val="18"/>
      <w:szCs w:val="20"/>
      <w:lang w:val="zh-CN"/>
    </w:rPr>
  </w:style>
  <w:style w:type="paragraph" w:styleId="24">
    <w:name w:val="index 5"/>
    <w:basedOn w:val="1"/>
    <w:next w:val="1"/>
    <w:semiHidden/>
    <w:qFormat/>
    <w:uiPriority w:val="99"/>
    <w:pPr>
      <w:spacing w:line="360" w:lineRule="auto"/>
      <w:ind w:left="800" w:leftChars="800"/>
    </w:pPr>
    <w:rPr>
      <w:szCs w:val="24"/>
    </w:rPr>
  </w:style>
  <w:style w:type="paragraph" w:styleId="25">
    <w:name w:val="List Bullet"/>
    <w:basedOn w:val="1"/>
    <w:uiPriority w:val="99"/>
    <w:pPr>
      <w:numPr>
        <w:ilvl w:val="0"/>
        <w:numId w:val="4"/>
      </w:numPr>
      <w:tabs>
        <w:tab w:val="left" w:pos="360"/>
        <w:tab w:val="clear" w:pos="2040"/>
      </w:tabs>
      <w:spacing w:line="360" w:lineRule="auto"/>
      <w:ind w:left="360"/>
    </w:pPr>
    <w:rPr>
      <w:szCs w:val="24"/>
    </w:rPr>
  </w:style>
  <w:style w:type="paragraph" w:styleId="26">
    <w:name w:val="envelope address"/>
    <w:basedOn w:val="1"/>
    <w:uiPriority w:val="99"/>
    <w:pPr>
      <w:framePr w:w="7920" w:h="1980" w:hRule="exact" w:hSpace="180" w:wrap="around" w:vAnchor="margin" w:hAnchor="page" w:xAlign="center" w:yAlign="bottom"/>
      <w:snapToGrid w:val="0"/>
      <w:spacing w:line="360" w:lineRule="auto"/>
      <w:ind w:left="100" w:leftChars="1400"/>
    </w:pPr>
    <w:rPr>
      <w:rFonts w:ascii="Arial" w:hAnsi="Arial" w:cs="Arial"/>
      <w:sz w:val="24"/>
      <w:szCs w:val="24"/>
    </w:rPr>
  </w:style>
  <w:style w:type="paragraph" w:styleId="27">
    <w:name w:val="Document Map"/>
    <w:basedOn w:val="1"/>
    <w:link w:val="286"/>
    <w:semiHidden/>
    <w:qFormat/>
    <w:uiPriority w:val="99"/>
    <w:pPr>
      <w:shd w:val="clear" w:color="auto" w:fill="000080"/>
      <w:spacing w:line="360" w:lineRule="auto"/>
    </w:pPr>
    <w:rPr>
      <w:rFonts w:eastAsia="等线"/>
      <w:kern w:val="0"/>
      <w:sz w:val="24"/>
      <w:szCs w:val="20"/>
      <w:lang w:val="zh-CN"/>
    </w:rPr>
  </w:style>
  <w:style w:type="paragraph" w:styleId="28">
    <w:name w:val="toa heading"/>
    <w:basedOn w:val="1"/>
    <w:next w:val="1"/>
    <w:semiHidden/>
    <w:uiPriority w:val="99"/>
    <w:pPr>
      <w:spacing w:before="120" w:line="360" w:lineRule="auto"/>
    </w:pPr>
    <w:rPr>
      <w:rFonts w:ascii="Arial" w:hAnsi="Arial" w:cs="Arial"/>
      <w:sz w:val="24"/>
      <w:szCs w:val="24"/>
    </w:rPr>
  </w:style>
  <w:style w:type="paragraph" w:styleId="29">
    <w:name w:val="annotation text"/>
    <w:basedOn w:val="1"/>
    <w:link w:val="249"/>
    <w:uiPriority w:val="99"/>
    <w:pPr>
      <w:jc w:val="left"/>
    </w:pPr>
    <w:rPr>
      <w:rFonts w:ascii="等线" w:hAnsi="等线" w:eastAsia="等线"/>
      <w:kern w:val="0"/>
      <w:sz w:val="24"/>
      <w:szCs w:val="20"/>
    </w:rPr>
  </w:style>
  <w:style w:type="paragraph" w:styleId="30">
    <w:name w:val="index 6"/>
    <w:basedOn w:val="1"/>
    <w:next w:val="1"/>
    <w:semiHidden/>
    <w:qFormat/>
    <w:uiPriority w:val="99"/>
    <w:pPr>
      <w:spacing w:line="360" w:lineRule="auto"/>
      <w:ind w:left="1000" w:leftChars="1000"/>
    </w:pPr>
    <w:rPr>
      <w:szCs w:val="24"/>
    </w:rPr>
  </w:style>
  <w:style w:type="paragraph" w:styleId="31">
    <w:name w:val="Salutation"/>
    <w:basedOn w:val="1"/>
    <w:next w:val="1"/>
    <w:link w:val="274"/>
    <w:qFormat/>
    <w:uiPriority w:val="99"/>
    <w:pPr>
      <w:spacing w:line="360" w:lineRule="auto"/>
    </w:pPr>
    <w:rPr>
      <w:rFonts w:eastAsia="等线"/>
      <w:kern w:val="0"/>
      <w:sz w:val="24"/>
      <w:szCs w:val="20"/>
      <w:lang w:val="zh-CN"/>
    </w:rPr>
  </w:style>
  <w:style w:type="paragraph" w:styleId="32">
    <w:name w:val="Body Text 3"/>
    <w:basedOn w:val="1"/>
    <w:link w:val="307"/>
    <w:qFormat/>
    <w:uiPriority w:val="99"/>
    <w:pPr>
      <w:spacing w:after="120" w:line="360" w:lineRule="auto"/>
    </w:pPr>
    <w:rPr>
      <w:rFonts w:eastAsia="等线"/>
      <w:kern w:val="0"/>
      <w:sz w:val="16"/>
      <w:szCs w:val="20"/>
      <w:lang w:val="zh-CN"/>
    </w:rPr>
  </w:style>
  <w:style w:type="paragraph" w:styleId="33">
    <w:name w:val="Closing"/>
    <w:basedOn w:val="1"/>
    <w:link w:val="247"/>
    <w:qFormat/>
    <w:uiPriority w:val="99"/>
    <w:pPr>
      <w:spacing w:line="360" w:lineRule="auto"/>
      <w:ind w:left="100" w:leftChars="2100"/>
    </w:pPr>
    <w:rPr>
      <w:rFonts w:eastAsia="等线"/>
      <w:kern w:val="0"/>
      <w:sz w:val="24"/>
      <w:szCs w:val="20"/>
      <w:lang w:val="zh-CN"/>
    </w:rPr>
  </w:style>
  <w:style w:type="paragraph" w:styleId="34">
    <w:name w:val="List Bullet 3"/>
    <w:basedOn w:val="1"/>
    <w:uiPriority w:val="99"/>
    <w:pPr>
      <w:numPr>
        <w:ilvl w:val="0"/>
        <w:numId w:val="5"/>
      </w:numPr>
      <w:tabs>
        <w:tab w:val="left" w:pos="1200"/>
        <w:tab w:val="clear" w:pos="360"/>
      </w:tabs>
      <w:spacing w:line="360" w:lineRule="auto"/>
      <w:ind w:left="1200"/>
    </w:pPr>
    <w:rPr>
      <w:szCs w:val="24"/>
    </w:rPr>
  </w:style>
  <w:style w:type="paragraph" w:styleId="35">
    <w:name w:val="Body Text Indent"/>
    <w:basedOn w:val="1"/>
    <w:link w:val="290"/>
    <w:uiPriority w:val="99"/>
    <w:pPr>
      <w:spacing w:after="120"/>
      <w:ind w:left="420" w:leftChars="200"/>
    </w:pPr>
  </w:style>
  <w:style w:type="paragraph" w:styleId="36">
    <w:name w:val="List Number 3"/>
    <w:basedOn w:val="1"/>
    <w:uiPriority w:val="99"/>
    <w:pPr>
      <w:numPr>
        <w:ilvl w:val="0"/>
        <w:numId w:val="6"/>
      </w:numPr>
      <w:tabs>
        <w:tab w:val="left" w:pos="1200"/>
        <w:tab w:val="clear" w:pos="780"/>
      </w:tabs>
      <w:spacing w:line="360" w:lineRule="auto"/>
      <w:ind w:left="1200"/>
    </w:pPr>
    <w:rPr>
      <w:szCs w:val="24"/>
    </w:rPr>
  </w:style>
  <w:style w:type="paragraph" w:styleId="37">
    <w:name w:val="List 2"/>
    <w:basedOn w:val="1"/>
    <w:qFormat/>
    <w:uiPriority w:val="99"/>
    <w:pPr>
      <w:spacing w:line="360" w:lineRule="auto"/>
      <w:ind w:left="100" w:leftChars="200" w:hanging="200" w:hangingChars="200"/>
    </w:pPr>
    <w:rPr>
      <w:szCs w:val="24"/>
    </w:rPr>
  </w:style>
  <w:style w:type="paragraph" w:styleId="38">
    <w:name w:val="List Continue"/>
    <w:basedOn w:val="1"/>
    <w:uiPriority w:val="99"/>
    <w:pPr>
      <w:spacing w:after="120" w:line="360" w:lineRule="auto"/>
      <w:ind w:left="420" w:leftChars="200"/>
    </w:pPr>
    <w:rPr>
      <w:szCs w:val="24"/>
    </w:rPr>
  </w:style>
  <w:style w:type="paragraph" w:styleId="39">
    <w:name w:val="Block Text"/>
    <w:basedOn w:val="1"/>
    <w:qFormat/>
    <w:uiPriority w:val="99"/>
    <w:pPr>
      <w:spacing w:after="120" w:line="360" w:lineRule="auto"/>
      <w:ind w:left="1440" w:leftChars="700" w:right="1440" w:rightChars="700"/>
    </w:pPr>
    <w:rPr>
      <w:szCs w:val="24"/>
    </w:rPr>
  </w:style>
  <w:style w:type="paragraph" w:styleId="40">
    <w:name w:val="List Bullet 2"/>
    <w:basedOn w:val="1"/>
    <w:qFormat/>
    <w:uiPriority w:val="99"/>
    <w:pPr>
      <w:tabs>
        <w:tab w:val="left" w:pos="780"/>
      </w:tabs>
      <w:spacing w:line="360" w:lineRule="auto"/>
      <w:ind w:left="780" w:hanging="360"/>
    </w:pPr>
    <w:rPr>
      <w:szCs w:val="24"/>
    </w:rPr>
  </w:style>
  <w:style w:type="paragraph" w:styleId="41">
    <w:name w:val="HTML Address"/>
    <w:basedOn w:val="1"/>
    <w:link w:val="296"/>
    <w:uiPriority w:val="99"/>
    <w:pPr>
      <w:spacing w:line="360" w:lineRule="auto"/>
    </w:pPr>
    <w:rPr>
      <w:rFonts w:eastAsia="等线"/>
      <w:i/>
      <w:kern w:val="0"/>
      <w:sz w:val="24"/>
      <w:szCs w:val="20"/>
      <w:lang w:val="zh-CN"/>
    </w:rPr>
  </w:style>
  <w:style w:type="paragraph" w:styleId="42">
    <w:name w:val="index 4"/>
    <w:basedOn w:val="1"/>
    <w:next w:val="1"/>
    <w:semiHidden/>
    <w:uiPriority w:val="99"/>
    <w:pPr>
      <w:spacing w:line="360" w:lineRule="auto"/>
      <w:ind w:left="600" w:leftChars="600"/>
    </w:pPr>
    <w:rPr>
      <w:szCs w:val="24"/>
    </w:rPr>
  </w:style>
  <w:style w:type="paragraph" w:styleId="43">
    <w:name w:val="toc 5"/>
    <w:basedOn w:val="1"/>
    <w:next w:val="1"/>
    <w:uiPriority w:val="99"/>
    <w:pPr>
      <w:spacing w:line="360" w:lineRule="auto"/>
      <w:ind w:left="840"/>
      <w:jc w:val="left"/>
    </w:pPr>
    <w:rPr>
      <w:rFonts w:cs="Calibri"/>
      <w:sz w:val="18"/>
      <w:szCs w:val="18"/>
    </w:rPr>
  </w:style>
  <w:style w:type="paragraph" w:styleId="44">
    <w:name w:val="toc 3"/>
    <w:basedOn w:val="1"/>
    <w:next w:val="1"/>
    <w:qFormat/>
    <w:uiPriority w:val="99"/>
    <w:pPr>
      <w:autoSpaceDE w:val="0"/>
      <w:autoSpaceDN w:val="0"/>
      <w:ind w:left="840" w:leftChars="400"/>
      <w:jc w:val="left"/>
    </w:pPr>
    <w:rPr>
      <w:rFonts w:ascii="宋体" w:hAnsi="宋体" w:cs="宋体"/>
      <w:kern w:val="0"/>
      <w:sz w:val="22"/>
      <w:lang w:eastAsia="en-US"/>
    </w:rPr>
  </w:style>
  <w:style w:type="paragraph" w:styleId="45">
    <w:name w:val="Plain Text"/>
    <w:basedOn w:val="1"/>
    <w:link w:val="243"/>
    <w:uiPriority w:val="99"/>
    <w:rPr>
      <w:rFonts w:ascii="等线" w:hAnsi="Courier New" w:eastAsia="等线"/>
      <w:kern w:val="0"/>
      <w:sz w:val="20"/>
      <w:szCs w:val="20"/>
    </w:rPr>
  </w:style>
  <w:style w:type="paragraph" w:styleId="46">
    <w:name w:val="List Bullet 5"/>
    <w:basedOn w:val="1"/>
    <w:uiPriority w:val="99"/>
    <w:pPr>
      <w:numPr>
        <w:ilvl w:val="0"/>
        <w:numId w:val="7"/>
      </w:numPr>
      <w:tabs>
        <w:tab w:val="left" w:pos="2040"/>
        <w:tab w:val="clear" w:pos="1200"/>
      </w:tabs>
      <w:spacing w:line="360" w:lineRule="auto"/>
      <w:ind w:left="2040"/>
    </w:pPr>
    <w:rPr>
      <w:szCs w:val="24"/>
    </w:rPr>
  </w:style>
  <w:style w:type="paragraph" w:styleId="47">
    <w:name w:val="List Number 4"/>
    <w:basedOn w:val="1"/>
    <w:uiPriority w:val="99"/>
    <w:pPr>
      <w:spacing w:line="360" w:lineRule="auto"/>
    </w:pPr>
    <w:rPr>
      <w:szCs w:val="24"/>
    </w:rPr>
  </w:style>
  <w:style w:type="paragraph" w:styleId="48">
    <w:name w:val="toc 8"/>
    <w:basedOn w:val="1"/>
    <w:next w:val="1"/>
    <w:qFormat/>
    <w:uiPriority w:val="99"/>
    <w:pPr>
      <w:spacing w:line="360" w:lineRule="auto"/>
      <w:ind w:left="1470"/>
      <w:jc w:val="left"/>
    </w:pPr>
    <w:rPr>
      <w:rFonts w:cs="Calibri"/>
      <w:sz w:val="18"/>
      <w:szCs w:val="18"/>
    </w:rPr>
  </w:style>
  <w:style w:type="paragraph" w:styleId="49">
    <w:name w:val="index 3"/>
    <w:basedOn w:val="1"/>
    <w:next w:val="1"/>
    <w:semiHidden/>
    <w:uiPriority w:val="99"/>
    <w:pPr>
      <w:spacing w:line="360" w:lineRule="auto"/>
      <w:ind w:left="400" w:leftChars="400"/>
    </w:pPr>
    <w:rPr>
      <w:szCs w:val="24"/>
    </w:rPr>
  </w:style>
  <w:style w:type="paragraph" w:styleId="50">
    <w:name w:val="Date"/>
    <w:basedOn w:val="1"/>
    <w:next w:val="1"/>
    <w:link w:val="267"/>
    <w:qFormat/>
    <w:uiPriority w:val="99"/>
    <w:pPr>
      <w:spacing w:line="600" w:lineRule="exact"/>
      <w:ind w:left="100" w:leftChars="2500" w:firstLine="200" w:firstLineChars="200"/>
    </w:pPr>
    <w:rPr>
      <w:rFonts w:ascii="等线" w:hAnsi="等线" w:eastAsia="仿宋"/>
      <w:kern w:val="0"/>
      <w:sz w:val="30"/>
      <w:szCs w:val="20"/>
    </w:rPr>
  </w:style>
  <w:style w:type="paragraph" w:styleId="51">
    <w:name w:val="Body Text Indent 2"/>
    <w:basedOn w:val="1"/>
    <w:link w:val="311"/>
    <w:uiPriority w:val="99"/>
    <w:pPr>
      <w:spacing w:after="120" w:line="480" w:lineRule="auto"/>
      <w:ind w:left="420" w:leftChars="200"/>
    </w:pPr>
    <w:rPr>
      <w:rFonts w:eastAsia="等线"/>
      <w:kern w:val="0"/>
      <w:sz w:val="24"/>
      <w:szCs w:val="20"/>
      <w:lang w:val="zh-CN"/>
    </w:rPr>
  </w:style>
  <w:style w:type="paragraph" w:styleId="52">
    <w:name w:val="endnote text"/>
    <w:basedOn w:val="1"/>
    <w:link w:val="237"/>
    <w:qFormat/>
    <w:uiPriority w:val="99"/>
    <w:pPr>
      <w:snapToGrid w:val="0"/>
      <w:jc w:val="left"/>
    </w:pPr>
    <w:rPr>
      <w:rFonts w:ascii="等线" w:hAnsi="等线" w:eastAsia="等线"/>
      <w:kern w:val="0"/>
      <w:sz w:val="24"/>
      <w:szCs w:val="20"/>
    </w:rPr>
  </w:style>
  <w:style w:type="paragraph" w:styleId="53">
    <w:name w:val="List Continue 5"/>
    <w:basedOn w:val="1"/>
    <w:uiPriority w:val="99"/>
    <w:pPr>
      <w:spacing w:after="120" w:line="360" w:lineRule="auto"/>
      <w:ind w:left="2100" w:leftChars="1000"/>
    </w:pPr>
    <w:rPr>
      <w:szCs w:val="24"/>
    </w:rPr>
  </w:style>
  <w:style w:type="paragraph" w:styleId="54">
    <w:name w:val="Balloon Text"/>
    <w:basedOn w:val="1"/>
    <w:link w:val="264"/>
    <w:uiPriority w:val="99"/>
    <w:rPr>
      <w:rFonts w:ascii="宋体" w:hAnsi="等线" w:eastAsia="等线"/>
      <w:kern w:val="0"/>
      <w:sz w:val="18"/>
      <w:szCs w:val="20"/>
    </w:rPr>
  </w:style>
  <w:style w:type="paragraph" w:styleId="55">
    <w:name w:val="footer"/>
    <w:basedOn w:val="1"/>
    <w:link w:val="111"/>
    <w:uiPriority w:val="99"/>
    <w:pPr>
      <w:tabs>
        <w:tab w:val="center" w:pos="4153"/>
        <w:tab w:val="right" w:pos="8306"/>
      </w:tabs>
      <w:snapToGrid w:val="0"/>
      <w:jc w:val="left"/>
    </w:pPr>
    <w:rPr>
      <w:sz w:val="18"/>
      <w:szCs w:val="18"/>
    </w:rPr>
  </w:style>
  <w:style w:type="paragraph" w:styleId="56">
    <w:name w:val="envelope return"/>
    <w:basedOn w:val="1"/>
    <w:uiPriority w:val="99"/>
    <w:pPr>
      <w:snapToGrid w:val="0"/>
      <w:spacing w:line="360" w:lineRule="auto"/>
    </w:pPr>
    <w:rPr>
      <w:rFonts w:ascii="Arial" w:hAnsi="Arial" w:cs="Arial"/>
      <w:szCs w:val="24"/>
    </w:rPr>
  </w:style>
  <w:style w:type="paragraph" w:styleId="57">
    <w:name w:val="header"/>
    <w:basedOn w:val="1"/>
    <w:link w:val="110"/>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235"/>
    <w:uiPriority w:val="99"/>
    <w:pPr>
      <w:spacing w:line="360" w:lineRule="auto"/>
      <w:ind w:left="100" w:leftChars="2100"/>
    </w:pPr>
    <w:rPr>
      <w:rFonts w:eastAsia="等线"/>
      <w:kern w:val="0"/>
      <w:sz w:val="24"/>
      <w:szCs w:val="20"/>
      <w:lang w:val="zh-CN"/>
    </w:rPr>
  </w:style>
  <w:style w:type="paragraph" w:styleId="59">
    <w:name w:val="toc 1"/>
    <w:basedOn w:val="1"/>
    <w:next w:val="1"/>
    <w:uiPriority w:val="99"/>
    <w:pPr>
      <w:autoSpaceDE w:val="0"/>
      <w:autoSpaceDN w:val="0"/>
      <w:jc w:val="left"/>
    </w:pPr>
    <w:rPr>
      <w:rFonts w:ascii="宋体" w:hAnsi="宋体" w:cs="宋体"/>
      <w:kern w:val="0"/>
      <w:sz w:val="22"/>
      <w:lang w:eastAsia="en-US"/>
    </w:rPr>
  </w:style>
  <w:style w:type="paragraph" w:styleId="60">
    <w:name w:val="List Continue 4"/>
    <w:basedOn w:val="1"/>
    <w:uiPriority w:val="99"/>
    <w:pPr>
      <w:spacing w:after="120" w:line="360" w:lineRule="auto"/>
      <w:ind w:left="1680" w:leftChars="800"/>
    </w:pPr>
    <w:rPr>
      <w:szCs w:val="24"/>
    </w:rPr>
  </w:style>
  <w:style w:type="paragraph" w:styleId="61">
    <w:name w:val="toc 4"/>
    <w:basedOn w:val="1"/>
    <w:next w:val="1"/>
    <w:uiPriority w:val="99"/>
    <w:pPr>
      <w:tabs>
        <w:tab w:val="left" w:pos="1788"/>
        <w:tab w:val="right" w:leader="dot" w:pos="8296"/>
      </w:tabs>
      <w:spacing w:line="360" w:lineRule="auto"/>
      <w:ind w:left="850" w:leftChars="405" w:firstLine="1"/>
    </w:pPr>
    <w:rPr>
      <w:rFonts w:ascii="Calibri" w:hAnsi="Calibri"/>
    </w:rPr>
  </w:style>
  <w:style w:type="paragraph" w:styleId="62">
    <w:name w:val="index heading"/>
    <w:basedOn w:val="1"/>
    <w:next w:val="63"/>
    <w:semiHidden/>
    <w:uiPriority w:val="99"/>
    <w:pPr>
      <w:spacing w:line="360" w:lineRule="auto"/>
    </w:pPr>
    <w:rPr>
      <w:rFonts w:ascii="Arial" w:hAnsi="Arial" w:cs="Arial"/>
      <w:b/>
      <w:bCs/>
      <w:szCs w:val="24"/>
    </w:rPr>
  </w:style>
  <w:style w:type="paragraph" w:styleId="63">
    <w:name w:val="index 1"/>
    <w:basedOn w:val="1"/>
    <w:next w:val="1"/>
    <w:uiPriority w:val="99"/>
  </w:style>
  <w:style w:type="paragraph" w:styleId="64">
    <w:name w:val="Subtitle"/>
    <w:basedOn w:val="1"/>
    <w:link w:val="319"/>
    <w:qFormat/>
    <w:uiPriority w:val="99"/>
    <w:pPr>
      <w:spacing w:before="240" w:after="60" w:line="312" w:lineRule="auto"/>
      <w:jc w:val="center"/>
      <w:outlineLvl w:val="1"/>
    </w:pPr>
    <w:rPr>
      <w:rFonts w:ascii="Arial" w:hAnsi="Arial" w:eastAsia="等线"/>
      <w:b/>
      <w:kern w:val="28"/>
      <w:sz w:val="32"/>
      <w:szCs w:val="20"/>
      <w:lang w:val="zh-CN"/>
    </w:rPr>
  </w:style>
  <w:style w:type="paragraph" w:styleId="65">
    <w:name w:val="List Number 5"/>
    <w:basedOn w:val="1"/>
    <w:uiPriority w:val="99"/>
    <w:pPr>
      <w:tabs>
        <w:tab w:val="left" w:pos="2040"/>
      </w:tabs>
      <w:spacing w:line="360" w:lineRule="auto"/>
      <w:ind w:left="2040" w:hanging="360"/>
    </w:pPr>
    <w:rPr>
      <w:szCs w:val="24"/>
    </w:rPr>
  </w:style>
  <w:style w:type="paragraph" w:styleId="66">
    <w:name w:val="List"/>
    <w:basedOn w:val="1"/>
    <w:qFormat/>
    <w:uiPriority w:val="99"/>
    <w:pPr>
      <w:spacing w:line="360" w:lineRule="auto"/>
      <w:ind w:left="200" w:hanging="200" w:hangingChars="200"/>
    </w:pPr>
    <w:rPr>
      <w:szCs w:val="24"/>
    </w:rPr>
  </w:style>
  <w:style w:type="paragraph" w:styleId="67">
    <w:name w:val="footnote text"/>
    <w:basedOn w:val="1"/>
    <w:link w:val="283"/>
    <w:qFormat/>
    <w:uiPriority w:val="99"/>
    <w:pPr>
      <w:snapToGrid w:val="0"/>
      <w:jc w:val="left"/>
    </w:pPr>
    <w:rPr>
      <w:rFonts w:ascii="等线" w:hAnsi="等线" w:eastAsia="等线"/>
      <w:kern w:val="0"/>
      <w:sz w:val="24"/>
      <w:szCs w:val="20"/>
    </w:rPr>
  </w:style>
  <w:style w:type="paragraph" w:styleId="68">
    <w:name w:val="toc 6"/>
    <w:basedOn w:val="1"/>
    <w:next w:val="1"/>
    <w:qFormat/>
    <w:uiPriority w:val="99"/>
    <w:pPr>
      <w:spacing w:line="360" w:lineRule="auto"/>
      <w:ind w:left="1050"/>
      <w:jc w:val="left"/>
    </w:pPr>
    <w:rPr>
      <w:rFonts w:cs="Calibri"/>
      <w:sz w:val="18"/>
      <w:szCs w:val="18"/>
    </w:rPr>
  </w:style>
  <w:style w:type="paragraph" w:styleId="69">
    <w:name w:val="List 5"/>
    <w:basedOn w:val="1"/>
    <w:uiPriority w:val="99"/>
    <w:pPr>
      <w:spacing w:line="360" w:lineRule="auto"/>
      <w:ind w:left="100" w:leftChars="800" w:hanging="200" w:hangingChars="200"/>
    </w:pPr>
    <w:rPr>
      <w:szCs w:val="24"/>
    </w:rPr>
  </w:style>
  <w:style w:type="paragraph" w:styleId="70">
    <w:name w:val="Body Text Indent 3"/>
    <w:basedOn w:val="1"/>
    <w:link w:val="322"/>
    <w:qFormat/>
    <w:uiPriority w:val="99"/>
    <w:pPr>
      <w:spacing w:after="120" w:line="360" w:lineRule="auto"/>
      <w:ind w:left="420" w:leftChars="200"/>
    </w:pPr>
    <w:rPr>
      <w:rFonts w:eastAsia="等线"/>
      <w:kern w:val="0"/>
      <w:sz w:val="16"/>
      <w:szCs w:val="20"/>
      <w:lang w:val="zh-CN"/>
    </w:rPr>
  </w:style>
  <w:style w:type="paragraph" w:styleId="71">
    <w:name w:val="index 7"/>
    <w:basedOn w:val="1"/>
    <w:next w:val="1"/>
    <w:semiHidden/>
    <w:uiPriority w:val="99"/>
    <w:pPr>
      <w:spacing w:line="360" w:lineRule="auto"/>
      <w:ind w:left="1200" w:leftChars="1200"/>
    </w:pPr>
    <w:rPr>
      <w:szCs w:val="24"/>
    </w:rPr>
  </w:style>
  <w:style w:type="paragraph" w:styleId="72">
    <w:name w:val="index 9"/>
    <w:basedOn w:val="1"/>
    <w:next w:val="1"/>
    <w:semiHidden/>
    <w:uiPriority w:val="99"/>
    <w:pPr>
      <w:spacing w:line="360" w:lineRule="auto"/>
      <w:ind w:left="1600" w:leftChars="1600"/>
    </w:pPr>
    <w:rPr>
      <w:szCs w:val="24"/>
    </w:rPr>
  </w:style>
  <w:style w:type="paragraph" w:styleId="73">
    <w:name w:val="table of figures"/>
    <w:basedOn w:val="1"/>
    <w:next w:val="1"/>
    <w:link w:val="203"/>
    <w:uiPriority w:val="99"/>
    <w:pPr>
      <w:spacing w:line="360" w:lineRule="auto"/>
      <w:ind w:left="200" w:leftChars="200" w:hanging="200" w:hangingChars="200"/>
    </w:pPr>
    <w:rPr>
      <w:rFonts w:eastAsia="等线"/>
      <w:kern w:val="0"/>
      <w:sz w:val="24"/>
      <w:szCs w:val="20"/>
      <w:lang w:val="zh-CN"/>
    </w:rPr>
  </w:style>
  <w:style w:type="paragraph" w:styleId="74">
    <w:name w:val="toc 2"/>
    <w:basedOn w:val="1"/>
    <w:next w:val="1"/>
    <w:qFormat/>
    <w:uiPriority w:val="99"/>
    <w:pPr>
      <w:autoSpaceDE w:val="0"/>
      <w:autoSpaceDN w:val="0"/>
      <w:ind w:left="420" w:leftChars="200"/>
      <w:jc w:val="left"/>
    </w:pPr>
    <w:rPr>
      <w:rFonts w:ascii="宋体" w:hAnsi="宋体" w:cs="宋体"/>
      <w:kern w:val="0"/>
      <w:sz w:val="22"/>
      <w:lang w:eastAsia="en-US"/>
    </w:rPr>
  </w:style>
  <w:style w:type="paragraph" w:styleId="75">
    <w:name w:val="toc 9"/>
    <w:basedOn w:val="1"/>
    <w:next w:val="1"/>
    <w:uiPriority w:val="99"/>
    <w:pPr>
      <w:spacing w:line="360" w:lineRule="auto"/>
      <w:ind w:left="1680"/>
      <w:jc w:val="left"/>
    </w:pPr>
    <w:rPr>
      <w:rFonts w:cs="Calibri"/>
      <w:sz w:val="18"/>
      <w:szCs w:val="18"/>
    </w:rPr>
  </w:style>
  <w:style w:type="paragraph" w:styleId="76">
    <w:name w:val="Body Text 2"/>
    <w:basedOn w:val="1"/>
    <w:link w:val="256"/>
    <w:uiPriority w:val="99"/>
    <w:pPr>
      <w:spacing w:after="120" w:line="480" w:lineRule="auto"/>
    </w:pPr>
    <w:rPr>
      <w:rFonts w:eastAsia="等线"/>
      <w:kern w:val="0"/>
      <w:sz w:val="24"/>
      <w:szCs w:val="20"/>
      <w:lang w:val="zh-CN"/>
    </w:rPr>
  </w:style>
  <w:style w:type="paragraph" w:styleId="77">
    <w:name w:val="List 4"/>
    <w:basedOn w:val="1"/>
    <w:qFormat/>
    <w:uiPriority w:val="99"/>
    <w:pPr>
      <w:spacing w:line="360" w:lineRule="auto"/>
      <w:ind w:left="100" w:leftChars="600" w:hanging="200" w:hangingChars="200"/>
    </w:pPr>
    <w:rPr>
      <w:szCs w:val="24"/>
    </w:rPr>
  </w:style>
  <w:style w:type="paragraph" w:styleId="78">
    <w:name w:val="List Continue 2"/>
    <w:basedOn w:val="1"/>
    <w:uiPriority w:val="99"/>
    <w:pPr>
      <w:spacing w:after="120" w:line="360" w:lineRule="auto"/>
      <w:ind w:left="840" w:leftChars="400"/>
    </w:pPr>
    <w:rPr>
      <w:szCs w:val="24"/>
    </w:rPr>
  </w:style>
  <w:style w:type="paragraph" w:styleId="79">
    <w:name w:val="Message Header"/>
    <w:basedOn w:val="1"/>
    <w:link w:val="294"/>
    <w:uiPriority w:val="99"/>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eastAsia="等线"/>
      <w:kern w:val="0"/>
      <w:sz w:val="24"/>
      <w:szCs w:val="20"/>
      <w:lang w:val="zh-CN"/>
    </w:rPr>
  </w:style>
  <w:style w:type="paragraph" w:styleId="80">
    <w:name w:val="HTML Preformatted"/>
    <w:basedOn w:val="1"/>
    <w:link w:val="329"/>
    <w:qFormat/>
    <w:uiPriority w:val="99"/>
    <w:pPr>
      <w:spacing w:line="360" w:lineRule="auto"/>
    </w:pPr>
    <w:rPr>
      <w:rFonts w:ascii="Courier New" w:hAnsi="Courier New" w:eastAsia="等线"/>
      <w:kern w:val="0"/>
      <w:sz w:val="20"/>
      <w:szCs w:val="20"/>
      <w:lang w:val="zh-CN"/>
    </w:rPr>
  </w:style>
  <w:style w:type="paragraph" w:styleId="81">
    <w:name w:val="Normal (Web)"/>
    <w:basedOn w:val="1"/>
    <w:qFormat/>
    <w:uiPriority w:val="99"/>
    <w:pPr>
      <w:spacing w:before="100" w:beforeAutospacing="1" w:after="100" w:afterAutospacing="1"/>
      <w:jc w:val="left"/>
    </w:pPr>
    <w:rPr>
      <w:kern w:val="0"/>
      <w:sz w:val="24"/>
      <w:szCs w:val="24"/>
    </w:rPr>
  </w:style>
  <w:style w:type="paragraph" w:styleId="82">
    <w:name w:val="List Continue 3"/>
    <w:basedOn w:val="1"/>
    <w:uiPriority w:val="99"/>
    <w:pPr>
      <w:spacing w:after="120" w:line="360" w:lineRule="auto"/>
      <w:ind w:left="1260" w:leftChars="600"/>
    </w:pPr>
    <w:rPr>
      <w:szCs w:val="24"/>
    </w:rPr>
  </w:style>
  <w:style w:type="paragraph" w:styleId="83">
    <w:name w:val="index 2"/>
    <w:basedOn w:val="1"/>
    <w:next w:val="1"/>
    <w:semiHidden/>
    <w:uiPriority w:val="99"/>
    <w:pPr>
      <w:spacing w:line="360" w:lineRule="auto"/>
      <w:ind w:left="200" w:leftChars="200"/>
    </w:pPr>
    <w:rPr>
      <w:szCs w:val="24"/>
    </w:rPr>
  </w:style>
  <w:style w:type="paragraph" w:styleId="84">
    <w:name w:val="Title"/>
    <w:basedOn w:val="1"/>
    <w:next w:val="1"/>
    <w:link w:val="315"/>
    <w:qFormat/>
    <w:uiPriority w:val="99"/>
    <w:pPr>
      <w:autoSpaceDE w:val="0"/>
      <w:autoSpaceDN w:val="0"/>
    </w:pPr>
    <w:rPr>
      <w:rFonts w:ascii="Arial" w:hAnsi="Arial" w:eastAsia="仿宋"/>
      <w:kern w:val="0"/>
      <w:sz w:val="52"/>
      <w:szCs w:val="20"/>
      <w:lang w:val="zh-CN"/>
    </w:rPr>
  </w:style>
  <w:style w:type="paragraph" w:styleId="85">
    <w:name w:val="annotation subject"/>
    <w:basedOn w:val="29"/>
    <w:next w:val="29"/>
    <w:link w:val="252"/>
    <w:qFormat/>
    <w:uiPriority w:val="99"/>
    <w:rPr>
      <w:b/>
    </w:rPr>
  </w:style>
  <w:style w:type="paragraph" w:styleId="86">
    <w:name w:val="Body Text First Indent"/>
    <w:basedOn w:val="2"/>
    <w:link w:val="278"/>
    <w:uiPriority w:val="99"/>
    <w:pPr>
      <w:spacing w:after="120" w:line="360" w:lineRule="auto"/>
      <w:ind w:firstLine="420" w:firstLineChars="100"/>
      <w:jc w:val="both"/>
    </w:pPr>
    <w:rPr>
      <w:rFonts w:eastAsia="等线"/>
      <w:sz w:val="24"/>
      <w:lang w:val="zh-CN"/>
    </w:rPr>
  </w:style>
  <w:style w:type="paragraph" w:styleId="87">
    <w:name w:val="Body Text First Indent 2"/>
    <w:basedOn w:val="35"/>
    <w:link w:val="291"/>
    <w:qFormat/>
    <w:uiPriority w:val="99"/>
    <w:pPr>
      <w:spacing w:line="360" w:lineRule="auto"/>
      <w:ind w:firstLine="420" w:firstLineChars="200"/>
    </w:pPr>
    <w:rPr>
      <w:rFonts w:eastAsia="等线"/>
      <w:kern w:val="0"/>
      <w:sz w:val="24"/>
      <w:szCs w:val="20"/>
    </w:rPr>
  </w:style>
  <w:style w:type="table" w:styleId="89">
    <w:name w:val="Table Grid"/>
    <w:basedOn w:val="88"/>
    <w:qFormat/>
    <w:uiPriority w:val="99"/>
    <w:pPr>
      <w:widowControl w:val="0"/>
      <w:jc w:val="both"/>
    </w:pPr>
    <w:rPr>
      <w:rFonts w:ascii="Times New Roman" w:hAnsi="Times New Roman" w:eastAsia="宋体"/>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3D effects 3"/>
    <w:basedOn w:val="88"/>
    <w:qFormat/>
    <w:uiPriority w:val="99"/>
    <w:pPr>
      <w:widowControl w:val="0"/>
      <w:spacing w:line="360" w:lineRule="auto"/>
      <w:jc w:val="both"/>
    </w:pPr>
    <w:rPr>
      <w:rFonts w:ascii="Times New Roman" w:hAnsi="Times New Roman" w:eastAsia="宋体"/>
      <w:kern w:val="0"/>
      <w:sz w:val="20"/>
      <w:szCs w:val="20"/>
    </w:rPr>
    <w:tblPr>
      <w:tblStyleRowBandSize w:val="1"/>
      <w:tblStyleColBandSize w:val="1"/>
    </w:tblPr>
    <w:tblStylePr w:type="firstRow">
      <w:rPr>
        <w:rFonts w:cs="Times New Roman"/>
        <w:b/>
        <w:bCs/>
      </w:rPr>
      <w:tblPr/>
      <w:tcPr>
        <w:tcBorders>
          <w:top w:val="nil"/>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color="808080" w:sz="6" w:space="0"/>
          <w:insideH w:val="nil"/>
          <w:insideV w:val="nil"/>
          <w:tl2br w:val="nil"/>
          <w:tr2bl w:val="nil"/>
        </w:tcBorders>
      </w:tcPr>
    </w:tblStylePr>
    <w:tblStylePr w:type="lastCol">
      <w:rPr>
        <w:rFonts w:cs="Times New Roman"/>
      </w:rPr>
      <w:tblPr/>
      <w:tcPr>
        <w:tcBorders>
          <w:top w:val="nil"/>
          <w:left w:val="nil"/>
          <w:bottom w:val="nil"/>
          <w:right w:val="single" w:color="FFFFFF" w:sz="6" w:space="0"/>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color="808080" w:sz="6" w:space="0"/>
          <w:left w:val="nil"/>
          <w:bottom w:val="single" w:color="FFFFFF" w:sz="6" w:space="0"/>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91">
    <w:name w:val="Table Contemporary"/>
    <w:basedOn w:val="88"/>
    <w:qFormat/>
    <w:uiPriority w:val="99"/>
    <w:pPr>
      <w:widowControl w:val="0"/>
      <w:spacing w:line="360" w:lineRule="auto"/>
      <w:jc w:val="both"/>
    </w:pPr>
    <w:rPr>
      <w:rFonts w:ascii="Times New Roman" w:hAnsi="Times New Roman" w:eastAsia="宋体"/>
      <w:kern w:val="0"/>
      <w:sz w:val="20"/>
      <w:szCs w:val="20"/>
    </w:rPr>
    <w:tblPr>
      <w:tblBorders>
        <w:insideH w:val="single" w:color="FFFFFF" w:sz="18" w:space="0"/>
        <w:insideV w:val="single" w:color="FFFFFF" w:sz="18" w:space="0"/>
      </w:tblBorders>
    </w:tblPr>
    <w:tblStylePr w:type="firstRow">
      <w:rPr>
        <w:rFonts w:cs="Times New Roman"/>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bl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blPr/>
      <w:tcPr>
        <w:tcBorders>
          <w:top w:val="nil"/>
          <w:left w:val="nil"/>
          <w:bottom w:val="nil"/>
          <w:right w:val="nil"/>
          <w:insideH w:val="nil"/>
          <w:insideV w:val="nil"/>
          <w:tl2br w:val="nil"/>
          <w:tr2bl w:val="nil"/>
        </w:tcBorders>
        <w:shd w:val="pct20" w:color="000000" w:fill="FFFFFF"/>
      </w:tcPr>
    </w:tblStylePr>
  </w:style>
  <w:style w:type="character" w:styleId="93">
    <w:name w:val="Strong"/>
    <w:basedOn w:val="92"/>
    <w:qFormat/>
    <w:uiPriority w:val="99"/>
    <w:rPr>
      <w:rFonts w:cs="Times New Roman"/>
      <w:b/>
    </w:rPr>
  </w:style>
  <w:style w:type="character" w:styleId="94">
    <w:name w:val="endnote reference"/>
    <w:basedOn w:val="92"/>
    <w:qFormat/>
    <w:uiPriority w:val="99"/>
    <w:rPr>
      <w:rFonts w:cs="Times New Roman"/>
      <w:vertAlign w:val="superscript"/>
    </w:rPr>
  </w:style>
  <w:style w:type="character" w:styleId="95">
    <w:name w:val="page number"/>
    <w:basedOn w:val="92"/>
    <w:uiPriority w:val="99"/>
    <w:rPr>
      <w:rFonts w:cs="Times New Roman"/>
    </w:rPr>
  </w:style>
  <w:style w:type="character" w:styleId="96">
    <w:name w:val="FollowedHyperlink"/>
    <w:basedOn w:val="92"/>
    <w:uiPriority w:val="99"/>
    <w:rPr>
      <w:rFonts w:cs="Times New Roman"/>
      <w:color w:val="800080"/>
      <w:u w:val="single"/>
    </w:rPr>
  </w:style>
  <w:style w:type="character" w:styleId="97">
    <w:name w:val="Emphasis"/>
    <w:basedOn w:val="92"/>
    <w:qFormat/>
    <w:uiPriority w:val="99"/>
    <w:rPr>
      <w:rFonts w:cs="Times New Roman"/>
      <w:color w:val="CC0000"/>
    </w:rPr>
  </w:style>
  <w:style w:type="character" w:styleId="98">
    <w:name w:val="Hyperlink"/>
    <w:basedOn w:val="92"/>
    <w:qFormat/>
    <w:uiPriority w:val="99"/>
    <w:rPr>
      <w:rFonts w:cs="Times New Roman"/>
      <w:color w:val="0563C1"/>
      <w:u w:val="single"/>
    </w:rPr>
  </w:style>
  <w:style w:type="character" w:styleId="99">
    <w:name w:val="annotation reference"/>
    <w:basedOn w:val="92"/>
    <w:uiPriority w:val="99"/>
    <w:rPr>
      <w:rFonts w:cs="Times New Roman"/>
      <w:sz w:val="21"/>
    </w:rPr>
  </w:style>
  <w:style w:type="character" w:styleId="100">
    <w:name w:val="footnote reference"/>
    <w:basedOn w:val="92"/>
    <w:uiPriority w:val="99"/>
    <w:rPr>
      <w:rFonts w:cs="Times New Roman"/>
      <w:vertAlign w:val="superscript"/>
    </w:rPr>
  </w:style>
  <w:style w:type="character" w:customStyle="1" w:styleId="101">
    <w:name w:val="标题 1 字符1"/>
    <w:basedOn w:val="92"/>
    <w:link w:val="4"/>
    <w:locked/>
    <w:uiPriority w:val="99"/>
    <w:rPr>
      <w:rFonts w:ascii="宋体" w:hAnsi="宋体" w:eastAsia="黑体" w:cs="Times New Roman"/>
      <w:b/>
      <w:kern w:val="36"/>
      <w:sz w:val="48"/>
    </w:rPr>
  </w:style>
  <w:style w:type="character" w:customStyle="1" w:styleId="102">
    <w:name w:val="标题 2 字符1"/>
    <w:basedOn w:val="92"/>
    <w:link w:val="5"/>
    <w:locked/>
    <w:uiPriority w:val="99"/>
    <w:rPr>
      <w:rFonts w:ascii="Cambria" w:hAnsi="Cambria" w:eastAsia="宋体" w:cs="Times New Roman"/>
      <w:b/>
      <w:sz w:val="32"/>
    </w:rPr>
  </w:style>
  <w:style w:type="character" w:customStyle="1" w:styleId="103">
    <w:name w:val="标题 3 字符1"/>
    <w:basedOn w:val="92"/>
    <w:link w:val="6"/>
    <w:locked/>
    <w:uiPriority w:val="99"/>
    <w:rPr>
      <w:rFonts w:ascii="Times New Roman" w:hAnsi="Times New Roman" w:eastAsia="宋体" w:cs="Times New Roman"/>
      <w:b/>
      <w:sz w:val="32"/>
    </w:rPr>
  </w:style>
  <w:style w:type="character" w:customStyle="1" w:styleId="104">
    <w:name w:val="标题 4 字符1"/>
    <w:basedOn w:val="92"/>
    <w:link w:val="7"/>
    <w:locked/>
    <w:uiPriority w:val="99"/>
    <w:rPr>
      <w:rFonts w:ascii="Calibri Light" w:hAnsi="Calibri Light" w:eastAsia="宋体" w:cs="Times New Roman"/>
      <w:b/>
      <w:kern w:val="0"/>
      <w:sz w:val="28"/>
      <w:lang w:eastAsia="en-US"/>
    </w:rPr>
  </w:style>
  <w:style w:type="character" w:customStyle="1" w:styleId="105">
    <w:name w:val="标题 5 字符1"/>
    <w:basedOn w:val="92"/>
    <w:link w:val="8"/>
    <w:qFormat/>
    <w:locked/>
    <w:uiPriority w:val="99"/>
    <w:rPr>
      <w:rFonts w:ascii="宋体" w:hAnsi="宋体" w:eastAsia="宋体" w:cs="Times New Roman"/>
      <w:kern w:val="0"/>
      <w:sz w:val="30"/>
      <w:lang w:eastAsia="en-US"/>
    </w:rPr>
  </w:style>
  <w:style w:type="character" w:customStyle="1" w:styleId="106">
    <w:name w:val="标题 6 字符"/>
    <w:basedOn w:val="92"/>
    <w:link w:val="9"/>
    <w:locked/>
    <w:uiPriority w:val="99"/>
    <w:rPr>
      <w:rFonts w:ascii="Arial" w:hAnsi="Arial" w:eastAsia="黑体" w:cs="Times New Roman"/>
      <w:b/>
      <w:bCs/>
      <w:sz w:val="24"/>
      <w:szCs w:val="24"/>
      <w:lang w:val="zh-CN"/>
    </w:rPr>
  </w:style>
  <w:style w:type="character" w:customStyle="1" w:styleId="107">
    <w:name w:val="标题 7 字符"/>
    <w:basedOn w:val="92"/>
    <w:link w:val="10"/>
    <w:locked/>
    <w:uiPriority w:val="99"/>
    <w:rPr>
      <w:rFonts w:ascii="Times New Roman" w:hAnsi="Times New Roman" w:eastAsia="宋体" w:cs="Times New Roman"/>
      <w:b/>
      <w:bCs/>
      <w:sz w:val="24"/>
      <w:szCs w:val="24"/>
      <w:lang w:val="zh-CN"/>
    </w:rPr>
  </w:style>
  <w:style w:type="character" w:customStyle="1" w:styleId="108">
    <w:name w:val="标题 8 字符"/>
    <w:basedOn w:val="92"/>
    <w:link w:val="11"/>
    <w:qFormat/>
    <w:locked/>
    <w:uiPriority w:val="99"/>
    <w:rPr>
      <w:rFonts w:ascii="Arial" w:hAnsi="Arial" w:eastAsia="黑体" w:cs="Times New Roman"/>
      <w:sz w:val="24"/>
      <w:szCs w:val="24"/>
      <w:lang w:val="zh-CN"/>
    </w:rPr>
  </w:style>
  <w:style w:type="character" w:customStyle="1" w:styleId="109">
    <w:name w:val="标题 9 字符"/>
    <w:basedOn w:val="92"/>
    <w:link w:val="12"/>
    <w:locked/>
    <w:uiPriority w:val="99"/>
    <w:rPr>
      <w:rFonts w:ascii="Arial" w:hAnsi="Arial" w:eastAsia="黑体" w:cs="Times New Roman"/>
      <w:sz w:val="21"/>
      <w:szCs w:val="21"/>
      <w:lang w:val="zh-CN"/>
    </w:rPr>
  </w:style>
  <w:style w:type="character" w:customStyle="1" w:styleId="110">
    <w:name w:val="页眉 字符"/>
    <w:basedOn w:val="92"/>
    <w:link w:val="57"/>
    <w:qFormat/>
    <w:locked/>
    <w:uiPriority w:val="99"/>
    <w:rPr>
      <w:rFonts w:cs="Times New Roman"/>
      <w:sz w:val="18"/>
      <w:szCs w:val="18"/>
    </w:rPr>
  </w:style>
  <w:style w:type="character" w:customStyle="1" w:styleId="111">
    <w:name w:val="页脚 字符"/>
    <w:basedOn w:val="92"/>
    <w:link w:val="55"/>
    <w:qFormat/>
    <w:locked/>
    <w:uiPriority w:val="99"/>
    <w:rPr>
      <w:rFonts w:cs="Times New Roman"/>
      <w:sz w:val="18"/>
      <w:szCs w:val="18"/>
    </w:rPr>
  </w:style>
  <w:style w:type="character" w:customStyle="1" w:styleId="112">
    <w:name w:val="标题 1 字符"/>
    <w:basedOn w:val="92"/>
    <w:uiPriority w:val="99"/>
    <w:rPr>
      <w:rFonts w:ascii="Times New Roman" w:hAnsi="Times New Roman" w:eastAsia="宋体" w:cs="Times New Roman"/>
      <w:b/>
      <w:bCs/>
      <w:kern w:val="44"/>
      <w:sz w:val="44"/>
      <w:szCs w:val="44"/>
    </w:rPr>
  </w:style>
  <w:style w:type="character" w:customStyle="1" w:styleId="113">
    <w:name w:val="标题 2 字符"/>
    <w:basedOn w:val="92"/>
    <w:qFormat/>
    <w:uiPriority w:val="99"/>
    <w:rPr>
      <w:rFonts w:ascii="等线 Light" w:hAnsi="等线 Light" w:eastAsia="等线 Light" w:cs="Times New Roman"/>
      <w:b/>
      <w:bCs/>
      <w:sz w:val="32"/>
      <w:szCs w:val="32"/>
    </w:rPr>
  </w:style>
  <w:style w:type="character" w:customStyle="1" w:styleId="114">
    <w:name w:val="标题 3 字符"/>
    <w:basedOn w:val="92"/>
    <w:qFormat/>
    <w:uiPriority w:val="99"/>
    <w:rPr>
      <w:rFonts w:ascii="Times New Roman" w:hAnsi="Times New Roman" w:eastAsia="宋体" w:cs="Times New Roman"/>
      <w:b/>
      <w:bCs/>
      <w:sz w:val="32"/>
      <w:szCs w:val="32"/>
    </w:rPr>
  </w:style>
  <w:style w:type="character" w:customStyle="1" w:styleId="115">
    <w:name w:val="标题 4 字符"/>
    <w:basedOn w:val="92"/>
    <w:uiPriority w:val="99"/>
    <w:rPr>
      <w:rFonts w:ascii="等线 Light" w:hAnsi="等线 Light" w:eastAsia="等线 Light" w:cs="Times New Roman"/>
      <w:b/>
      <w:bCs/>
      <w:sz w:val="28"/>
      <w:szCs w:val="28"/>
    </w:rPr>
  </w:style>
  <w:style w:type="character" w:customStyle="1" w:styleId="116">
    <w:name w:val="标题 5 字符"/>
    <w:basedOn w:val="92"/>
    <w:uiPriority w:val="99"/>
    <w:rPr>
      <w:rFonts w:ascii="Times New Roman" w:hAnsi="Times New Roman" w:eastAsia="宋体" w:cs="Times New Roman"/>
      <w:b/>
      <w:bCs/>
      <w:sz w:val="28"/>
      <w:szCs w:val="28"/>
    </w:rPr>
  </w:style>
  <w:style w:type="character" w:customStyle="1" w:styleId="117">
    <w:name w:val="批注文字 Char1"/>
    <w:qFormat/>
    <w:uiPriority w:val="99"/>
    <w:rPr>
      <w:rFonts w:ascii="Calibri" w:hAnsi="Calibri" w:eastAsia="宋体"/>
      <w:kern w:val="2"/>
      <w:sz w:val="22"/>
    </w:rPr>
  </w:style>
  <w:style w:type="character" w:customStyle="1" w:styleId="118">
    <w:name w:val="标题 Char1"/>
    <w:uiPriority w:val="99"/>
    <w:rPr>
      <w:rFonts w:ascii="Cambria" w:hAnsi="Cambria" w:eastAsia="仿宋"/>
      <w:b/>
      <w:kern w:val="2"/>
      <w:sz w:val="32"/>
    </w:rPr>
  </w:style>
  <w:style w:type="character" w:customStyle="1" w:styleId="119">
    <w:name w:val="Body Text 2 Char"/>
    <w:locked/>
    <w:uiPriority w:val="99"/>
    <w:rPr>
      <w:rFonts w:ascii="Times New Roman" w:hAnsi="Times New Roman"/>
      <w:sz w:val="24"/>
      <w:lang w:val="zh-CN"/>
    </w:rPr>
  </w:style>
  <w:style w:type="character" w:customStyle="1" w:styleId="120">
    <w:name w:val="Title Char"/>
    <w:qFormat/>
    <w:locked/>
    <w:uiPriority w:val="99"/>
    <w:rPr>
      <w:rFonts w:ascii="Arial" w:hAnsi="Arial" w:eastAsia="仿宋"/>
      <w:sz w:val="52"/>
      <w:lang w:val="zh-CN"/>
    </w:rPr>
  </w:style>
  <w:style w:type="character" w:customStyle="1" w:styleId="121">
    <w:name w:val="Footnote Text Char"/>
    <w:locked/>
    <w:uiPriority w:val="99"/>
    <w:rPr>
      <w:sz w:val="24"/>
    </w:rPr>
  </w:style>
  <w:style w:type="character" w:customStyle="1" w:styleId="122">
    <w:name w:val="页眉或页脚_"/>
    <w:uiPriority w:val="99"/>
    <w:rPr>
      <w:rFonts w:ascii="Times New Roman" w:hAnsi="Times New Roman"/>
      <w:sz w:val="18"/>
      <w:u w:val="none"/>
    </w:rPr>
  </w:style>
  <w:style w:type="character" w:customStyle="1" w:styleId="123">
    <w:name w:val="标题 6 Char"/>
    <w:qFormat/>
    <w:uiPriority w:val="99"/>
    <w:rPr>
      <w:rFonts w:ascii="Cambria" w:hAnsi="Cambria" w:eastAsia="宋体"/>
      <w:b/>
      <w:kern w:val="2"/>
      <w:sz w:val="24"/>
    </w:rPr>
  </w:style>
  <w:style w:type="character" w:customStyle="1" w:styleId="124">
    <w:name w:val="尾注文本 Char"/>
    <w:semiHidden/>
    <w:uiPriority w:val="99"/>
    <w:rPr>
      <w:kern w:val="2"/>
      <w:sz w:val="22"/>
    </w:rPr>
  </w:style>
  <w:style w:type="character" w:customStyle="1" w:styleId="125">
    <w:name w:val="bjh-strong"/>
    <w:uiPriority w:val="99"/>
  </w:style>
  <w:style w:type="character" w:customStyle="1" w:styleId="126">
    <w:name w:val="Comment Subject Char"/>
    <w:locked/>
    <w:uiPriority w:val="99"/>
    <w:rPr>
      <w:b/>
      <w:sz w:val="24"/>
    </w:rPr>
  </w:style>
  <w:style w:type="character" w:customStyle="1" w:styleId="127">
    <w:name w:val="题注 字符"/>
    <w:uiPriority w:val="99"/>
    <w:rPr>
      <w:rFonts w:ascii="Calibri" w:hAnsi="Calibri"/>
      <w:b/>
      <w:kern w:val="2"/>
      <w:sz w:val="18"/>
    </w:rPr>
  </w:style>
  <w:style w:type="character" w:customStyle="1" w:styleId="128">
    <w:name w:val="标题 1 Char1"/>
    <w:qFormat/>
    <w:uiPriority w:val="99"/>
    <w:rPr>
      <w:rFonts w:ascii="Calibri" w:hAnsi="Calibri" w:eastAsia="仿宋"/>
      <w:b/>
      <w:kern w:val="44"/>
      <w:sz w:val="44"/>
    </w:rPr>
  </w:style>
  <w:style w:type="character" w:customStyle="1" w:styleId="129">
    <w:name w:val="正文文本 (2)_"/>
    <w:link w:val="130"/>
    <w:locked/>
    <w:uiPriority w:val="99"/>
    <w:rPr>
      <w:rFonts w:ascii="宋体" w:eastAsia="宋体"/>
      <w:sz w:val="26"/>
      <w:shd w:val="clear" w:color="auto" w:fill="FFFFFF"/>
    </w:rPr>
  </w:style>
  <w:style w:type="paragraph" w:customStyle="1" w:styleId="130">
    <w:name w:val="正文文本 (2)"/>
    <w:basedOn w:val="1"/>
    <w:link w:val="129"/>
    <w:uiPriority w:val="99"/>
    <w:pPr>
      <w:shd w:val="clear" w:color="auto" w:fill="FFFFFF"/>
      <w:spacing w:before="720" w:line="518" w:lineRule="exact"/>
      <w:ind w:firstLine="200" w:firstLineChars="200"/>
      <w:jc w:val="distribute"/>
    </w:pPr>
    <w:rPr>
      <w:rFonts w:ascii="宋体" w:hAnsi="等线"/>
      <w:kern w:val="0"/>
      <w:sz w:val="26"/>
      <w:szCs w:val="20"/>
    </w:rPr>
  </w:style>
  <w:style w:type="character" w:customStyle="1" w:styleId="131">
    <w:name w:val="未处理的提及1"/>
    <w:uiPriority w:val="99"/>
    <w:rPr>
      <w:color w:val="605E5C"/>
      <w:shd w:val="clear" w:color="auto" w:fill="E1DFDD"/>
    </w:rPr>
  </w:style>
  <w:style w:type="character" w:customStyle="1" w:styleId="132">
    <w:name w:val="font"/>
    <w:basedOn w:val="92"/>
    <w:uiPriority w:val="99"/>
    <w:rPr>
      <w:rFonts w:cs="Times New Roman"/>
    </w:rPr>
  </w:style>
  <w:style w:type="character" w:customStyle="1" w:styleId="133">
    <w:name w:val="电子邮件签名 Char"/>
    <w:qFormat/>
    <w:uiPriority w:val="99"/>
    <w:rPr>
      <w:kern w:val="2"/>
      <w:sz w:val="22"/>
    </w:rPr>
  </w:style>
  <w:style w:type="character" w:customStyle="1" w:styleId="134">
    <w:name w:val="题注 字符1"/>
    <w:link w:val="23"/>
    <w:qFormat/>
    <w:locked/>
    <w:uiPriority w:val="99"/>
    <w:rPr>
      <w:rFonts w:eastAsia="Times New Roman"/>
      <w:b/>
      <w:sz w:val="18"/>
      <w:lang w:val="zh-CN"/>
    </w:rPr>
  </w:style>
  <w:style w:type="character" w:customStyle="1" w:styleId="135">
    <w:name w:val="Subtitle Char"/>
    <w:qFormat/>
    <w:locked/>
    <w:uiPriority w:val="99"/>
    <w:rPr>
      <w:rFonts w:ascii="Arial" w:hAnsi="Arial"/>
      <w:b/>
      <w:kern w:val="28"/>
      <w:sz w:val="32"/>
      <w:lang w:val="zh-CN"/>
    </w:rPr>
  </w:style>
  <w:style w:type="character" w:customStyle="1" w:styleId="136">
    <w:name w:val="标题 9 Char"/>
    <w:uiPriority w:val="99"/>
    <w:rPr>
      <w:rFonts w:ascii="Cambria" w:hAnsi="Cambria" w:eastAsia="宋体"/>
      <w:kern w:val="2"/>
      <w:sz w:val="21"/>
    </w:rPr>
  </w:style>
  <w:style w:type="character" w:customStyle="1" w:styleId="137">
    <w:name w:val="Note Heading Char"/>
    <w:locked/>
    <w:uiPriority w:val="99"/>
    <w:rPr>
      <w:rFonts w:ascii="Times New Roman" w:hAnsi="Times New Roman"/>
      <w:sz w:val="24"/>
      <w:lang w:val="zh-CN"/>
    </w:rPr>
  </w:style>
  <w:style w:type="character" w:customStyle="1" w:styleId="138">
    <w:name w:val="宏文本 Char"/>
    <w:semiHidden/>
    <w:uiPriority w:val="99"/>
    <w:rPr>
      <w:rFonts w:ascii="Courier New" w:hAnsi="Courier New"/>
      <w:kern w:val="2"/>
      <w:sz w:val="24"/>
    </w:rPr>
  </w:style>
  <w:style w:type="character" w:customStyle="1" w:styleId="139">
    <w:name w:val="批注文字 字符"/>
    <w:uiPriority w:val="99"/>
    <w:rPr>
      <w:kern w:val="2"/>
      <w:sz w:val="24"/>
    </w:rPr>
  </w:style>
  <w:style w:type="character" w:customStyle="1" w:styleId="140">
    <w:name w:val="Message Header Char"/>
    <w:locked/>
    <w:uiPriority w:val="99"/>
    <w:rPr>
      <w:rFonts w:ascii="Arial" w:hAnsi="Arial"/>
      <w:sz w:val="24"/>
      <w:shd w:val="pct20" w:color="auto" w:fill="auto"/>
      <w:lang w:val="zh-CN"/>
    </w:rPr>
  </w:style>
  <w:style w:type="character" w:customStyle="1" w:styleId="141">
    <w:name w:val="HTML Preformatted Char"/>
    <w:locked/>
    <w:uiPriority w:val="99"/>
    <w:rPr>
      <w:rFonts w:ascii="Courier New" w:hAnsi="Courier New"/>
      <w:lang w:val="zh-CN"/>
    </w:rPr>
  </w:style>
  <w:style w:type="character" w:customStyle="1" w:styleId="142">
    <w:name w:val="17"/>
    <w:uiPriority w:val="99"/>
    <w:rPr>
      <w:rFonts w:ascii="方正仿宋_GBK" w:hAnsi="方正仿宋_GBK" w:eastAsia="方正仿宋_GBK"/>
      <w:color w:val="000000"/>
      <w:spacing w:val="0"/>
      <w:sz w:val="24"/>
      <w:lang w:val="en-US" w:eastAsia="en-US"/>
    </w:rPr>
  </w:style>
  <w:style w:type="character" w:customStyle="1" w:styleId="143">
    <w:name w:val="正文文本 Char1"/>
    <w:uiPriority w:val="99"/>
    <w:rPr>
      <w:rFonts w:ascii="宋体" w:eastAsia="宋体"/>
      <w:kern w:val="2"/>
      <w:sz w:val="18"/>
    </w:rPr>
  </w:style>
  <w:style w:type="character" w:customStyle="1" w:styleId="144">
    <w:name w:val="批注框文本 字符"/>
    <w:qFormat/>
    <w:uiPriority w:val="99"/>
    <w:rPr>
      <w:rFonts w:ascii="Calibri" w:hAnsi="Calibri" w:eastAsia="宋体"/>
      <w:sz w:val="18"/>
    </w:rPr>
  </w:style>
  <w:style w:type="character" w:customStyle="1" w:styleId="145">
    <w:name w:val="结束语 Char"/>
    <w:uiPriority w:val="99"/>
    <w:rPr>
      <w:kern w:val="2"/>
      <w:sz w:val="22"/>
    </w:rPr>
  </w:style>
  <w:style w:type="character" w:customStyle="1" w:styleId="146">
    <w:name w:val="Macro Text Char"/>
    <w:semiHidden/>
    <w:locked/>
    <w:uiPriority w:val="99"/>
    <w:rPr>
      <w:rFonts w:ascii="Courier New" w:hAnsi="Courier New"/>
      <w:kern w:val="2"/>
      <w:sz w:val="24"/>
      <w:lang w:val="en-US" w:eastAsia="zh-CN"/>
    </w:rPr>
  </w:style>
  <w:style w:type="character" w:customStyle="1" w:styleId="147">
    <w:name w:val="Signature Char"/>
    <w:qFormat/>
    <w:locked/>
    <w:uiPriority w:val="99"/>
    <w:rPr>
      <w:rFonts w:ascii="Times New Roman" w:hAnsi="Times New Roman"/>
      <w:sz w:val="24"/>
      <w:lang w:val="zh-CN"/>
    </w:rPr>
  </w:style>
  <w:style w:type="character" w:customStyle="1" w:styleId="148">
    <w:name w:val="标题 5 Char1"/>
    <w:qFormat/>
    <w:uiPriority w:val="99"/>
    <w:rPr>
      <w:rFonts w:ascii="Calibri" w:hAnsi="Calibri" w:eastAsia="宋体"/>
      <w:b/>
      <w:kern w:val="2"/>
      <w:sz w:val="28"/>
    </w:rPr>
  </w:style>
  <w:style w:type="character" w:customStyle="1" w:styleId="149">
    <w:name w:val="页眉 Char1"/>
    <w:uiPriority w:val="99"/>
    <w:rPr>
      <w:rFonts w:ascii="Calibri" w:hAnsi="Calibri" w:eastAsia="宋体"/>
      <w:sz w:val="18"/>
    </w:rPr>
  </w:style>
  <w:style w:type="character" w:customStyle="1" w:styleId="150">
    <w:name w:val="脚注文本 字符"/>
    <w:uiPriority w:val="99"/>
    <w:rPr>
      <w:kern w:val="2"/>
      <w:sz w:val="18"/>
    </w:rPr>
  </w:style>
  <w:style w:type="character" w:customStyle="1" w:styleId="151">
    <w:name w:val="gwds_nopic1"/>
    <w:basedOn w:val="92"/>
    <w:uiPriority w:val="99"/>
    <w:rPr>
      <w:rFonts w:cs="Times New Roman"/>
    </w:rPr>
  </w:style>
  <w:style w:type="character" w:customStyle="1" w:styleId="152">
    <w:name w:val="图表 Char"/>
    <w:link w:val="153"/>
    <w:locked/>
    <w:uiPriority w:val="99"/>
    <w:rPr>
      <w:rFonts w:ascii="Times New Roman" w:hAnsi="Times New Roman"/>
      <w:b/>
      <w:sz w:val="18"/>
      <w:lang w:val="zh-CN"/>
    </w:rPr>
  </w:style>
  <w:style w:type="paragraph" w:customStyle="1" w:styleId="153">
    <w:name w:val="图表"/>
    <w:basedOn w:val="73"/>
    <w:link w:val="152"/>
    <w:uiPriority w:val="99"/>
    <w:pPr>
      <w:spacing w:line="240" w:lineRule="auto"/>
      <w:ind w:left="0" w:leftChars="0" w:firstLine="0" w:firstLineChars="0"/>
      <w:jc w:val="center"/>
    </w:pPr>
    <w:rPr>
      <w:b/>
      <w:sz w:val="18"/>
    </w:rPr>
  </w:style>
  <w:style w:type="character" w:customStyle="1" w:styleId="154">
    <w:name w:val="font1"/>
    <w:basedOn w:val="92"/>
    <w:qFormat/>
    <w:uiPriority w:val="99"/>
    <w:rPr>
      <w:rFonts w:cs="Times New Roman"/>
    </w:rPr>
  </w:style>
  <w:style w:type="character" w:customStyle="1" w:styleId="155">
    <w:name w:val="标题 字符1"/>
    <w:qFormat/>
    <w:uiPriority w:val="99"/>
    <w:rPr>
      <w:rFonts w:ascii="Cambria" w:hAnsi="Cambria" w:eastAsia="仿宋"/>
      <w:b/>
      <w:sz w:val="32"/>
    </w:rPr>
  </w:style>
  <w:style w:type="character" w:customStyle="1" w:styleId="156">
    <w:name w:val="标题 2 Char1"/>
    <w:qFormat/>
    <w:uiPriority w:val="99"/>
    <w:rPr>
      <w:rFonts w:ascii="Cambria" w:hAnsi="Cambria" w:eastAsia="黑体"/>
      <w:kern w:val="2"/>
      <w:sz w:val="32"/>
    </w:rPr>
  </w:style>
  <w:style w:type="character" w:customStyle="1" w:styleId="157">
    <w:name w:val="尾注文本 字符"/>
    <w:semiHidden/>
    <w:uiPriority w:val="99"/>
    <w:rPr>
      <w:rFonts w:ascii="Calibri" w:hAnsi="Calibri" w:eastAsia="宋体"/>
      <w:sz w:val="24"/>
    </w:rPr>
  </w:style>
  <w:style w:type="character" w:customStyle="1" w:styleId="158">
    <w:name w:val="图表目录 Char"/>
    <w:uiPriority w:val="99"/>
    <w:rPr>
      <w:rFonts w:ascii="Times New Roman" w:hAnsi="Times New Roman" w:eastAsia="宋体"/>
      <w:sz w:val="24"/>
      <w:lang w:val="zh-CN" w:eastAsia="zh-CN"/>
    </w:rPr>
  </w:style>
  <w:style w:type="character" w:customStyle="1" w:styleId="159">
    <w:name w:val="bjh-p"/>
    <w:uiPriority w:val="99"/>
  </w:style>
  <w:style w:type="character" w:customStyle="1" w:styleId="160">
    <w:name w:val="批注主题 字符"/>
    <w:uiPriority w:val="99"/>
    <w:rPr>
      <w:rFonts w:eastAsia="仿宋"/>
      <w:b/>
      <w:kern w:val="2"/>
      <w:sz w:val="24"/>
    </w:rPr>
  </w:style>
  <w:style w:type="character" w:customStyle="1" w:styleId="161">
    <w:name w:val="文档结构图 Char"/>
    <w:semiHidden/>
    <w:qFormat/>
    <w:uiPriority w:val="99"/>
    <w:rPr>
      <w:rFonts w:ascii="宋体"/>
      <w:kern w:val="2"/>
      <w:sz w:val="18"/>
    </w:rPr>
  </w:style>
  <w:style w:type="character" w:customStyle="1" w:styleId="162">
    <w:name w:val="Date Char"/>
    <w:qFormat/>
    <w:locked/>
    <w:uiPriority w:val="99"/>
    <w:rPr>
      <w:rFonts w:eastAsia="仿宋"/>
      <w:sz w:val="30"/>
    </w:rPr>
  </w:style>
  <w:style w:type="character" w:customStyle="1" w:styleId="163">
    <w:name w:val="Plain Text Char"/>
    <w:locked/>
    <w:uiPriority w:val="99"/>
    <w:rPr>
      <w:rFonts w:hAnsi="Courier New"/>
    </w:rPr>
  </w:style>
  <w:style w:type="character" w:customStyle="1" w:styleId="164">
    <w:name w:val="HTML 预设格式 Char"/>
    <w:uiPriority w:val="99"/>
    <w:rPr>
      <w:rFonts w:ascii="Courier New" w:hAnsi="Courier New"/>
      <w:kern w:val="2"/>
    </w:rPr>
  </w:style>
  <w:style w:type="character" w:customStyle="1" w:styleId="165">
    <w:name w:val="标题 字符"/>
    <w:uiPriority w:val="99"/>
    <w:rPr>
      <w:rFonts w:ascii="Cambria" w:hAnsi="Cambria" w:eastAsia="宋体"/>
      <w:b/>
      <w:sz w:val="32"/>
    </w:rPr>
  </w:style>
  <w:style w:type="character" w:customStyle="1" w:styleId="166">
    <w:name w:val="Body Text 3 Char"/>
    <w:locked/>
    <w:uiPriority w:val="99"/>
    <w:rPr>
      <w:rFonts w:ascii="Times New Roman" w:hAnsi="Times New Roman"/>
      <w:sz w:val="16"/>
      <w:lang w:val="zh-CN"/>
    </w:rPr>
  </w:style>
  <w:style w:type="character" w:customStyle="1" w:styleId="167">
    <w:name w:val="标题 4 Char1"/>
    <w:uiPriority w:val="99"/>
    <w:rPr>
      <w:rFonts w:ascii="Cambria" w:hAnsi="Cambria"/>
      <w:b/>
      <w:kern w:val="2"/>
      <w:sz w:val="28"/>
    </w:rPr>
  </w:style>
  <w:style w:type="character" w:customStyle="1" w:styleId="168">
    <w:name w:val="页脚 字符1"/>
    <w:uiPriority w:val="99"/>
    <w:rPr>
      <w:kern w:val="2"/>
      <w:sz w:val="18"/>
    </w:rPr>
  </w:style>
  <w:style w:type="character" w:customStyle="1" w:styleId="169">
    <w:name w:val="列表段落 字符1"/>
    <w:link w:val="170"/>
    <w:locked/>
    <w:uiPriority w:val="99"/>
    <w:rPr>
      <w:rFonts w:ascii="黑体" w:hAnsi="黑体" w:eastAsia="黑体"/>
      <w:sz w:val="22"/>
      <w:lang w:eastAsia="en-US"/>
    </w:rPr>
  </w:style>
  <w:style w:type="paragraph" w:customStyle="1" w:styleId="170">
    <w:name w:val="列出段落1"/>
    <w:basedOn w:val="1"/>
    <w:link w:val="169"/>
    <w:qFormat/>
    <w:uiPriority w:val="99"/>
    <w:pPr>
      <w:autoSpaceDE w:val="0"/>
      <w:autoSpaceDN w:val="0"/>
      <w:ind w:left="1034" w:hanging="489"/>
      <w:jc w:val="left"/>
    </w:pPr>
    <w:rPr>
      <w:rFonts w:ascii="黑体" w:hAnsi="黑体" w:eastAsia="黑体"/>
      <w:kern w:val="0"/>
      <w:sz w:val="22"/>
      <w:szCs w:val="20"/>
      <w:lang w:eastAsia="en-US"/>
    </w:rPr>
  </w:style>
  <w:style w:type="character" w:customStyle="1" w:styleId="171">
    <w:name w:val="16"/>
    <w:uiPriority w:val="99"/>
    <w:rPr>
      <w:rFonts w:ascii="方正仿宋_GBK" w:hAnsi="方正仿宋_GBK" w:eastAsia="方正仿宋_GBK"/>
      <w:color w:val="000000"/>
      <w:spacing w:val="0"/>
      <w:sz w:val="24"/>
      <w:lang w:val="en-US" w:eastAsia="en-US"/>
    </w:rPr>
  </w:style>
  <w:style w:type="character" w:customStyle="1" w:styleId="172">
    <w:name w:val="正文首行缩进 2 Char"/>
    <w:basedOn w:val="173"/>
    <w:link w:val="174"/>
    <w:locked/>
    <w:uiPriority w:val="99"/>
    <w:rPr>
      <w:rFonts w:cs="Times New Roman"/>
      <w:kern w:val="2"/>
      <w:sz w:val="22"/>
      <w:szCs w:val="22"/>
    </w:rPr>
  </w:style>
  <w:style w:type="character" w:customStyle="1" w:styleId="173">
    <w:name w:val="正文文本缩进 Char"/>
    <w:uiPriority w:val="99"/>
    <w:rPr>
      <w:kern w:val="2"/>
      <w:sz w:val="22"/>
    </w:rPr>
  </w:style>
  <w:style w:type="paragraph" w:customStyle="1" w:styleId="174">
    <w:name w:val="_Style 262"/>
    <w:basedOn w:val="35"/>
    <w:next w:val="87"/>
    <w:link w:val="172"/>
    <w:uiPriority w:val="99"/>
    <w:pPr>
      <w:spacing w:line="360" w:lineRule="auto"/>
      <w:ind w:firstLine="420" w:firstLineChars="200"/>
    </w:pPr>
    <w:rPr>
      <w:rFonts w:ascii="等线" w:hAnsi="等线" w:eastAsia="等线"/>
    </w:rPr>
  </w:style>
  <w:style w:type="character" w:customStyle="1" w:styleId="175">
    <w:name w:val="称呼 Char"/>
    <w:uiPriority w:val="99"/>
    <w:rPr>
      <w:kern w:val="2"/>
      <w:sz w:val="22"/>
    </w:rPr>
  </w:style>
  <w:style w:type="character" w:customStyle="1" w:styleId="176">
    <w:name w:val="gwds_nopic2"/>
    <w:basedOn w:val="92"/>
    <w:qFormat/>
    <w:uiPriority w:val="99"/>
    <w:rPr>
      <w:rFonts w:cs="Times New Roman"/>
    </w:rPr>
  </w:style>
  <w:style w:type="character" w:customStyle="1" w:styleId="177">
    <w:name w:val="HTML 地址 Char"/>
    <w:uiPriority w:val="99"/>
    <w:rPr>
      <w:i/>
      <w:kern w:val="2"/>
      <w:sz w:val="22"/>
    </w:rPr>
  </w:style>
  <w:style w:type="character" w:customStyle="1" w:styleId="178">
    <w:name w:val="Body Text Indent 3 Char"/>
    <w:locked/>
    <w:uiPriority w:val="99"/>
    <w:rPr>
      <w:rFonts w:ascii="Times New Roman" w:hAnsi="Times New Roman"/>
      <w:sz w:val="16"/>
      <w:lang w:val="zh-CN"/>
    </w:rPr>
  </w:style>
  <w:style w:type="character" w:customStyle="1" w:styleId="179">
    <w:name w:val="Body Text First Indent 2 Char"/>
    <w:qFormat/>
    <w:locked/>
    <w:uiPriority w:val="99"/>
    <w:rPr>
      <w:rFonts w:ascii="Times New Roman" w:hAnsi="Times New Roman"/>
      <w:sz w:val="24"/>
    </w:rPr>
  </w:style>
  <w:style w:type="character" w:customStyle="1" w:styleId="180">
    <w:name w:val="页脚 Char1"/>
    <w:uiPriority w:val="99"/>
    <w:rPr>
      <w:rFonts w:ascii="Calibri" w:hAnsi="Calibri" w:eastAsia="宋体"/>
      <w:sz w:val="18"/>
    </w:rPr>
  </w:style>
  <w:style w:type="character" w:customStyle="1" w:styleId="181">
    <w:name w:val="Endnote Text Char"/>
    <w:locked/>
    <w:uiPriority w:val="99"/>
    <w:rPr>
      <w:sz w:val="24"/>
    </w:rPr>
  </w:style>
  <w:style w:type="character" w:customStyle="1" w:styleId="182">
    <w:name w:val="Comment Text Char"/>
    <w:locked/>
    <w:uiPriority w:val="99"/>
    <w:rPr>
      <w:sz w:val="24"/>
    </w:rPr>
  </w:style>
  <w:style w:type="character" w:customStyle="1" w:styleId="183">
    <w:name w:val="样式1 Char"/>
    <w:link w:val="184"/>
    <w:locked/>
    <w:uiPriority w:val="99"/>
    <w:rPr>
      <w:sz w:val="18"/>
    </w:rPr>
  </w:style>
  <w:style w:type="paragraph" w:customStyle="1" w:styleId="184">
    <w:name w:val="样式1"/>
    <w:basedOn w:val="55"/>
    <w:link w:val="183"/>
    <w:uiPriority w:val="99"/>
    <w:rPr>
      <w:rFonts w:ascii="等线" w:hAnsi="等线" w:eastAsia="等线"/>
      <w:kern w:val="0"/>
      <w:szCs w:val="20"/>
    </w:rPr>
  </w:style>
  <w:style w:type="character" w:customStyle="1" w:styleId="185">
    <w:name w:val="列表段落 字符"/>
    <w:qFormat/>
    <w:locked/>
    <w:uiPriority w:val="99"/>
    <w:rPr>
      <w:rFonts w:eastAsia="华文仿宋"/>
      <w:kern w:val="2"/>
      <w:sz w:val="28"/>
    </w:rPr>
  </w:style>
  <w:style w:type="character" w:customStyle="1" w:styleId="186">
    <w:name w:val="正文文本缩进 2 Char"/>
    <w:qFormat/>
    <w:uiPriority w:val="99"/>
    <w:rPr>
      <w:kern w:val="2"/>
      <w:sz w:val="22"/>
    </w:rPr>
  </w:style>
  <w:style w:type="character" w:customStyle="1" w:styleId="187">
    <w:name w:val="标题 #1_"/>
    <w:link w:val="188"/>
    <w:locked/>
    <w:uiPriority w:val="99"/>
    <w:rPr>
      <w:rFonts w:ascii="宋体"/>
      <w:sz w:val="26"/>
      <w:shd w:val="clear" w:color="auto" w:fill="FFFFFF"/>
    </w:rPr>
  </w:style>
  <w:style w:type="paragraph" w:customStyle="1" w:styleId="188">
    <w:name w:val="标题 #1"/>
    <w:basedOn w:val="1"/>
    <w:link w:val="187"/>
    <w:qFormat/>
    <w:uiPriority w:val="99"/>
    <w:pPr>
      <w:shd w:val="clear" w:color="auto" w:fill="FFFFFF"/>
      <w:spacing w:after="120" w:line="240" w:lineRule="atLeast"/>
      <w:ind w:firstLine="200" w:firstLineChars="200"/>
      <w:jc w:val="distribute"/>
      <w:outlineLvl w:val="0"/>
    </w:pPr>
    <w:rPr>
      <w:rFonts w:ascii="宋体" w:hAnsi="等线" w:eastAsia="等线"/>
      <w:kern w:val="0"/>
      <w:sz w:val="26"/>
      <w:szCs w:val="20"/>
    </w:rPr>
  </w:style>
  <w:style w:type="character" w:customStyle="1" w:styleId="189">
    <w:name w:val="图表标题 Char"/>
    <w:link w:val="190"/>
    <w:qFormat/>
    <w:locked/>
    <w:uiPriority w:val="99"/>
    <w:rPr>
      <w:rFonts w:ascii="Times New Roman" w:hAnsi="Times New Roman"/>
      <w:b/>
      <w:sz w:val="48"/>
      <w:lang w:val="zh-CN"/>
    </w:rPr>
  </w:style>
  <w:style w:type="paragraph" w:customStyle="1" w:styleId="190">
    <w:name w:val="图表标题"/>
    <w:basedOn w:val="1"/>
    <w:link w:val="189"/>
    <w:uiPriority w:val="99"/>
    <w:pPr>
      <w:spacing w:beforeLines="50" w:afterLines="50"/>
      <w:jc w:val="center"/>
    </w:pPr>
    <w:rPr>
      <w:rFonts w:eastAsia="等线"/>
      <w:b/>
      <w:kern w:val="0"/>
      <w:sz w:val="48"/>
      <w:szCs w:val="20"/>
      <w:lang w:val="zh-CN"/>
    </w:rPr>
  </w:style>
  <w:style w:type="character" w:customStyle="1" w:styleId="191">
    <w:name w:val="批注主题 Char1"/>
    <w:qFormat/>
    <w:uiPriority w:val="99"/>
    <w:rPr>
      <w:rFonts w:ascii="Calibri" w:hAnsi="Calibri" w:eastAsia="宋体"/>
      <w:b/>
      <w:kern w:val="2"/>
      <w:sz w:val="24"/>
    </w:rPr>
  </w:style>
  <w:style w:type="character" w:customStyle="1" w:styleId="192">
    <w:name w:val="hover13"/>
    <w:basedOn w:val="92"/>
    <w:qFormat/>
    <w:uiPriority w:val="99"/>
    <w:rPr>
      <w:rFonts w:cs="Times New Roman"/>
      <w:color w:val="015293"/>
    </w:rPr>
  </w:style>
  <w:style w:type="character" w:customStyle="1" w:styleId="193">
    <w:name w:val="font41"/>
    <w:qFormat/>
    <w:uiPriority w:val="99"/>
    <w:rPr>
      <w:rFonts w:ascii="方正仿宋_GBK" w:hAnsi="方正仿宋_GBK" w:eastAsia="方正仿宋_GBK"/>
      <w:color w:val="000000"/>
      <w:sz w:val="24"/>
      <w:u w:val="none"/>
      <w:lang w:val="en-US" w:eastAsia="en-US"/>
    </w:rPr>
  </w:style>
  <w:style w:type="character" w:customStyle="1" w:styleId="194">
    <w:name w:val="Body Text Indent 2 Char"/>
    <w:locked/>
    <w:uiPriority w:val="99"/>
    <w:rPr>
      <w:rFonts w:ascii="Times New Roman" w:hAnsi="Times New Roman"/>
      <w:sz w:val="24"/>
      <w:lang w:val="zh-CN"/>
    </w:rPr>
  </w:style>
  <w:style w:type="character" w:customStyle="1" w:styleId="195">
    <w:name w:val="E-mail Signature Char"/>
    <w:qFormat/>
    <w:locked/>
    <w:uiPriority w:val="99"/>
    <w:rPr>
      <w:rFonts w:ascii="Times New Roman" w:hAnsi="Times New Roman"/>
      <w:sz w:val="24"/>
      <w:lang w:val="zh-CN"/>
    </w:rPr>
  </w:style>
  <w:style w:type="character" w:customStyle="1" w:styleId="196">
    <w:name w:val="正文文本缩进 3 Char"/>
    <w:uiPriority w:val="99"/>
    <w:rPr>
      <w:kern w:val="2"/>
      <w:sz w:val="16"/>
    </w:rPr>
  </w:style>
  <w:style w:type="character" w:customStyle="1" w:styleId="197">
    <w:name w:val="页眉 字符1"/>
    <w:uiPriority w:val="99"/>
    <w:rPr>
      <w:kern w:val="2"/>
      <w:sz w:val="24"/>
    </w:rPr>
  </w:style>
  <w:style w:type="character" w:customStyle="1" w:styleId="198">
    <w:name w:val="副标题 Char"/>
    <w:qFormat/>
    <w:uiPriority w:val="99"/>
    <w:rPr>
      <w:rFonts w:ascii="Cambria" w:hAnsi="Cambria"/>
      <w:b/>
      <w:kern w:val="28"/>
      <w:sz w:val="32"/>
    </w:rPr>
  </w:style>
  <w:style w:type="character" w:customStyle="1" w:styleId="199">
    <w:name w:val="Balloon Text Char"/>
    <w:qFormat/>
    <w:locked/>
    <w:uiPriority w:val="99"/>
    <w:rPr>
      <w:rFonts w:ascii="宋体"/>
      <w:sz w:val="18"/>
    </w:rPr>
  </w:style>
  <w:style w:type="character" w:customStyle="1" w:styleId="200">
    <w:name w:val="标题 7 Char"/>
    <w:qFormat/>
    <w:uiPriority w:val="99"/>
    <w:rPr>
      <w:b/>
      <w:kern w:val="2"/>
      <w:sz w:val="24"/>
    </w:rPr>
  </w:style>
  <w:style w:type="character" w:customStyle="1" w:styleId="201">
    <w:name w:val="正文文本 字符"/>
    <w:qFormat/>
    <w:uiPriority w:val="99"/>
    <w:rPr>
      <w:rFonts w:ascii="宋体" w:hAnsi="宋体" w:eastAsia="宋体"/>
      <w:sz w:val="20"/>
    </w:rPr>
  </w:style>
  <w:style w:type="character" w:customStyle="1" w:styleId="202">
    <w:name w:val="标题 3 Char2"/>
    <w:qFormat/>
    <w:uiPriority w:val="99"/>
    <w:rPr>
      <w:rFonts w:ascii="Calibri" w:hAnsi="Calibri" w:eastAsia="仿宋"/>
      <w:b/>
      <w:kern w:val="2"/>
      <w:sz w:val="32"/>
    </w:rPr>
  </w:style>
  <w:style w:type="character" w:customStyle="1" w:styleId="203">
    <w:name w:val="图表目录 字符"/>
    <w:link w:val="73"/>
    <w:locked/>
    <w:uiPriority w:val="99"/>
    <w:rPr>
      <w:rFonts w:ascii="Times New Roman" w:hAnsi="Times New Roman"/>
      <w:sz w:val="24"/>
      <w:lang w:val="zh-CN"/>
    </w:rPr>
  </w:style>
  <w:style w:type="character" w:customStyle="1" w:styleId="204">
    <w:name w:val="纯文本 Char1"/>
    <w:semiHidden/>
    <w:uiPriority w:val="99"/>
    <w:rPr>
      <w:rFonts w:ascii="宋体" w:hAnsi="Courier New"/>
      <w:kern w:val="2"/>
      <w:sz w:val="21"/>
      <w:lang w:val="zh-CN" w:eastAsia="zh-CN"/>
    </w:rPr>
  </w:style>
  <w:style w:type="character" w:customStyle="1" w:styleId="205">
    <w:name w:val="注释标题 Char"/>
    <w:qFormat/>
    <w:uiPriority w:val="99"/>
    <w:rPr>
      <w:kern w:val="2"/>
      <w:sz w:val="22"/>
    </w:rPr>
  </w:style>
  <w:style w:type="character" w:customStyle="1" w:styleId="206">
    <w:name w:val="Salutation Char"/>
    <w:locked/>
    <w:uiPriority w:val="99"/>
    <w:rPr>
      <w:rFonts w:ascii="Times New Roman" w:hAnsi="Times New Roman"/>
      <w:sz w:val="24"/>
      <w:lang w:val="zh-CN"/>
    </w:rPr>
  </w:style>
  <w:style w:type="character" w:customStyle="1" w:styleId="207">
    <w:name w:val="Closing Char"/>
    <w:locked/>
    <w:uiPriority w:val="99"/>
    <w:rPr>
      <w:rFonts w:ascii="Times New Roman" w:hAnsi="Times New Roman"/>
      <w:sz w:val="24"/>
      <w:lang w:val="zh-CN"/>
    </w:rPr>
  </w:style>
  <w:style w:type="character" w:customStyle="1" w:styleId="208">
    <w:name w:val="正文文本缩进 字符"/>
    <w:uiPriority w:val="99"/>
    <w:rPr>
      <w:rFonts w:ascii="Times New Roman" w:hAnsi="Times New Roman"/>
      <w:kern w:val="2"/>
      <w:sz w:val="24"/>
    </w:rPr>
  </w:style>
  <w:style w:type="character" w:customStyle="1" w:styleId="209">
    <w:name w:val="修改1 Char"/>
    <w:link w:val="210"/>
    <w:locked/>
    <w:uiPriority w:val="99"/>
    <w:rPr>
      <w:sz w:val="24"/>
      <w:lang w:eastAsia="en-US"/>
    </w:rPr>
  </w:style>
  <w:style w:type="paragraph" w:customStyle="1" w:styleId="210">
    <w:name w:val="修改1"/>
    <w:basedOn w:val="1"/>
    <w:link w:val="209"/>
    <w:qFormat/>
    <w:uiPriority w:val="99"/>
    <w:pPr>
      <w:widowControl/>
      <w:spacing w:after="120" w:line="500" w:lineRule="exact"/>
      <w:ind w:firstLine="480" w:firstLineChars="200"/>
      <w:jc w:val="left"/>
    </w:pPr>
    <w:rPr>
      <w:rFonts w:ascii="等线" w:hAnsi="等线" w:eastAsia="等线"/>
      <w:kern w:val="0"/>
      <w:sz w:val="24"/>
      <w:szCs w:val="20"/>
      <w:lang w:eastAsia="en-US"/>
    </w:rPr>
  </w:style>
  <w:style w:type="character" w:customStyle="1" w:styleId="211">
    <w:name w:val="正文文本 3 Char"/>
    <w:uiPriority w:val="99"/>
    <w:rPr>
      <w:kern w:val="2"/>
      <w:sz w:val="16"/>
    </w:rPr>
  </w:style>
  <w:style w:type="character" w:customStyle="1" w:styleId="212">
    <w:name w:val="Body Text First Indent Char"/>
    <w:qFormat/>
    <w:locked/>
    <w:uiPriority w:val="99"/>
    <w:rPr>
      <w:rFonts w:ascii="Times New Roman" w:hAnsi="Times New Roman"/>
      <w:sz w:val="24"/>
      <w:lang w:val="zh-CN"/>
    </w:rPr>
  </w:style>
  <w:style w:type="character" w:customStyle="1" w:styleId="213">
    <w:name w:val="信息标题 Char"/>
    <w:uiPriority w:val="99"/>
    <w:rPr>
      <w:rFonts w:ascii="Cambria" w:hAnsi="Cambria" w:eastAsia="宋体"/>
      <w:kern w:val="2"/>
      <w:sz w:val="24"/>
      <w:shd w:val="pct20" w:color="auto" w:fill="auto"/>
    </w:rPr>
  </w:style>
  <w:style w:type="character" w:customStyle="1" w:styleId="214">
    <w:name w:val="职业环境 Char"/>
    <w:link w:val="215"/>
    <w:locked/>
    <w:uiPriority w:val="99"/>
    <w:rPr>
      <w:rFonts w:eastAsia="Times New Roman"/>
      <w:sz w:val="21"/>
      <w:lang w:val="zh-CN"/>
    </w:rPr>
  </w:style>
  <w:style w:type="paragraph" w:customStyle="1" w:styleId="215">
    <w:name w:val="职业环境"/>
    <w:basedOn w:val="153"/>
    <w:link w:val="214"/>
    <w:qFormat/>
    <w:uiPriority w:val="99"/>
    <w:pPr>
      <w:spacing w:line="360" w:lineRule="auto"/>
    </w:pPr>
    <w:rPr>
      <w:rFonts w:ascii="等线"/>
      <w:b w:val="0"/>
      <w:sz w:val="21"/>
    </w:rPr>
  </w:style>
  <w:style w:type="character" w:customStyle="1" w:styleId="216">
    <w:name w:val="loan"/>
    <w:basedOn w:val="92"/>
    <w:uiPriority w:val="99"/>
    <w:rPr>
      <w:rFonts w:cs="Times New Roman"/>
    </w:rPr>
  </w:style>
  <w:style w:type="character" w:customStyle="1" w:styleId="217">
    <w:name w:val="正文文本 2 Char"/>
    <w:uiPriority w:val="99"/>
    <w:rPr>
      <w:kern w:val="2"/>
      <w:sz w:val="22"/>
    </w:rPr>
  </w:style>
  <w:style w:type="character" w:customStyle="1" w:styleId="218">
    <w:name w:val="日期 Char"/>
    <w:uiPriority w:val="99"/>
    <w:rPr>
      <w:kern w:val="2"/>
      <w:sz w:val="22"/>
    </w:rPr>
  </w:style>
  <w:style w:type="character" w:customStyle="1" w:styleId="219">
    <w:name w:val="列出段落 Char"/>
    <w:locked/>
    <w:uiPriority w:val="99"/>
    <w:rPr>
      <w:rFonts w:ascii="宋体" w:hAnsi="宋体" w:eastAsia="宋体"/>
      <w:kern w:val="0"/>
      <w:sz w:val="24"/>
    </w:rPr>
  </w:style>
  <w:style w:type="character" w:customStyle="1" w:styleId="220">
    <w:name w:val="标题 3 Char1"/>
    <w:uiPriority w:val="99"/>
    <w:rPr>
      <w:rFonts w:ascii="Calibri" w:hAnsi="Calibri" w:eastAsia="仿宋"/>
      <w:b/>
      <w:kern w:val="2"/>
      <w:sz w:val="28"/>
    </w:rPr>
  </w:style>
  <w:style w:type="character" w:customStyle="1" w:styleId="221">
    <w:name w:val="laypage_curr"/>
    <w:basedOn w:val="92"/>
    <w:uiPriority w:val="99"/>
    <w:rPr>
      <w:rFonts w:cs="Times New Roman"/>
      <w:color w:val="FFFDF4"/>
      <w:shd w:val="clear" w:color="auto" w:fill="0B67A6"/>
    </w:rPr>
  </w:style>
  <w:style w:type="character" w:customStyle="1" w:styleId="222">
    <w:name w:val="正文首行缩进 Char"/>
    <w:uiPriority w:val="99"/>
    <w:rPr>
      <w:rFonts w:ascii="Times New Roman" w:hAnsi="Times New Roman" w:eastAsia="黑体"/>
      <w:kern w:val="2"/>
      <w:sz w:val="22"/>
    </w:rPr>
  </w:style>
  <w:style w:type="character" w:customStyle="1" w:styleId="223">
    <w:name w:val="页眉或页脚"/>
    <w:uiPriority w:val="99"/>
    <w:rPr>
      <w:rFonts w:ascii="Times New Roman" w:hAnsi="Times New Roman"/>
      <w:color w:val="000000"/>
      <w:spacing w:val="0"/>
      <w:w w:val="100"/>
      <w:position w:val="0"/>
      <w:sz w:val="18"/>
      <w:u w:val="none"/>
      <w:lang w:val="zh-TW" w:eastAsia="zh-TW"/>
    </w:rPr>
  </w:style>
  <w:style w:type="character" w:customStyle="1" w:styleId="224">
    <w:name w:val="脚注文本 字符1"/>
    <w:uiPriority w:val="99"/>
    <w:rPr>
      <w:rFonts w:ascii="Times New Roman" w:hAnsi="Times New Roman" w:eastAsia="宋体"/>
      <w:sz w:val="18"/>
    </w:rPr>
  </w:style>
  <w:style w:type="character" w:customStyle="1" w:styleId="225">
    <w:name w:val="签名 Char"/>
    <w:uiPriority w:val="99"/>
    <w:rPr>
      <w:kern w:val="2"/>
      <w:sz w:val="22"/>
    </w:rPr>
  </w:style>
  <w:style w:type="character" w:customStyle="1" w:styleId="226">
    <w:name w:val="批注框文本 Char1"/>
    <w:qFormat/>
    <w:uiPriority w:val="99"/>
    <w:rPr>
      <w:rFonts w:ascii="Calibri" w:hAnsi="Calibri"/>
      <w:kern w:val="2"/>
      <w:sz w:val="18"/>
    </w:rPr>
  </w:style>
  <w:style w:type="character" w:customStyle="1" w:styleId="227">
    <w:name w:val="Document Map Char"/>
    <w:semiHidden/>
    <w:locked/>
    <w:uiPriority w:val="99"/>
    <w:rPr>
      <w:rFonts w:ascii="Times New Roman" w:hAnsi="Times New Roman"/>
      <w:sz w:val="24"/>
      <w:shd w:val="clear" w:color="auto" w:fill="000080"/>
      <w:lang w:val="zh-CN"/>
    </w:rPr>
  </w:style>
  <w:style w:type="character" w:customStyle="1" w:styleId="228">
    <w:name w:val="日期 字符"/>
    <w:uiPriority w:val="99"/>
    <w:rPr>
      <w:rFonts w:eastAsia="仿宋"/>
      <w:sz w:val="30"/>
    </w:rPr>
  </w:style>
  <w:style w:type="character" w:customStyle="1" w:styleId="229">
    <w:name w:val="脚注文本 Char"/>
    <w:uiPriority w:val="99"/>
    <w:rPr>
      <w:kern w:val="2"/>
      <w:sz w:val="18"/>
    </w:rPr>
  </w:style>
  <w:style w:type="character" w:customStyle="1" w:styleId="230">
    <w:name w:val="HTML Address Char"/>
    <w:locked/>
    <w:uiPriority w:val="99"/>
    <w:rPr>
      <w:rFonts w:ascii="Times New Roman" w:hAnsi="Times New Roman"/>
      <w:i/>
      <w:sz w:val="24"/>
      <w:lang w:val="zh-CN"/>
    </w:rPr>
  </w:style>
  <w:style w:type="character" w:customStyle="1" w:styleId="231">
    <w:name w:val="题注 Char"/>
    <w:qFormat/>
    <w:uiPriority w:val="99"/>
    <w:rPr>
      <w:rFonts w:ascii="Calibri" w:hAnsi="Calibri"/>
      <w:b/>
      <w:sz w:val="18"/>
      <w:lang w:val="zh-CN" w:eastAsia="zh-CN"/>
    </w:rPr>
  </w:style>
  <w:style w:type="character" w:customStyle="1" w:styleId="232">
    <w:name w:val="标题 8 Char"/>
    <w:qFormat/>
    <w:uiPriority w:val="99"/>
    <w:rPr>
      <w:rFonts w:ascii="Cambria" w:hAnsi="Cambria" w:eastAsia="宋体"/>
      <w:kern w:val="2"/>
      <w:sz w:val="24"/>
    </w:rPr>
  </w:style>
  <w:style w:type="character" w:customStyle="1" w:styleId="233">
    <w:name w:val="Body Text Char"/>
    <w:locked/>
    <w:uiPriority w:val="99"/>
    <w:rPr>
      <w:rFonts w:ascii="Times New Roman" w:hAnsi="Times New Roman" w:eastAsia="黑体"/>
      <w:sz w:val="44"/>
    </w:rPr>
  </w:style>
  <w:style w:type="character" w:customStyle="1" w:styleId="234">
    <w:name w:val="gwds_nopic"/>
    <w:basedOn w:val="92"/>
    <w:uiPriority w:val="99"/>
    <w:rPr>
      <w:rFonts w:cs="Times New Roman"/>
    </w:rPr>
  </w:style>
  <w:style w:type="character" w:customStyle="1" w:styleId="235">
    <w:name w:val="签名 字符"/>
    <w:basedOn w:val="92"/>
    <w:link w:val="58"/>
    <w:semiHidden/>
    <w:qFormat/>
    <w:locked/>
    <w:uiPriority w:val="99"/>
    <w:rPr>
      <w:rFonts w:ascii="Times New Roman" w:hAnsi="Times New Roman" w:eastAsia="宋体" w:cs="Times New Roman"/>
    </w:rPr>
  </w:style>
  <w:style w:type="character" w:customStyle="1" w:styleId="236">
    <w:name w:val="签名 字符1"/>
    <w:basedOn w:val="92"/>
    <w:semiHidden/>
    <w:uiPriority w:val="99"/>
    <w:rPr>
      <w:rFonts w:ascii="Times New Roman" w:hAnsi="Times New Roman" w:eastAsia="宋体" w:cs="Times New Roman"/>
    </w:rPr>
  </w:style>
  <w:style w:type="character" w:customStyle="1" w:styleId="237">
    <w:name w:val="尾注文本 字符1"/>
    <w:basedOn w:val="92"/>
    <w:link w:val="52"/>
    <w:semiHidden/>
    <w:locked/>
    <w:uiPriority w:val="99"/>
    <w:rPr>
      <w:rFonts w:ascii="Times New Roman" w:hAnsi="Times New Roman" w:eastAsia="宋体" w:cs="Times New Roman"/>
    </w:rPr>
  </w:style>
  <w:style w:type="character" w:customStyle="1" w:styleId="238">
    <w:name w:val="尾注文本 字符2"/>
    <w:basedOn w:val="92"/>
    <w:semiHidden/>
    <w:qFormat/>
    <w:uiPriority w:val="99"/>
    <w:rPr>
      <w:rFonts w:ascii="Times New Roman" w:hAnsi="Times New Roman" w:eastAsia="宋体" w:cs="Times New Roman"/>
    </w:rPr>
  </w:style>
  <w:style w:type="paragraph" w:customStyle="1" w:styleId="239">
    <w:name w:val="msonormal"/>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240">
    <w:name w:val="列出段落2"/>
    <w:basedOn w:val="1"/>
    <w:qFormat/>
    <w:uiPriority w:val="99"/>
    <w:pPr>
      <w:ind w:firstLine="420" w:firstLineChars="200"/>
    </w:pPr>
  </w:style>
  <w:style w:type="paragraph" w:customStyle="1" w:styleId="241">
    <w:name w:val="手册正文"/>
    <w:basedOn w:val="1"/>
    <w:uiPriority w:val="99"/>
    <w:pPr>
      <w:spacing w:beforeLines="50" w:afterLines="50" w:line="360" w:lineRule="auto"/>
      <w:ind w:firstLine="200" w:firstLineChars="200"/>
    </w:pPr>
    <w:rPr>
      <w:rFonts w:eastAsia="仿宋_GB2312" w:cs="宋体"/>
      <w:sz w:val="24"/>
      <w:szCs w:val="28"/>
    </w:rPr>
  </w:style>
  <w:style w:type="paragraph" w:customStyle="1" w:styleId="242">
    <w:name w:val="样式3"/>
    <w:basedOn w:val="55"/>
    <w:qFormat/>
    <w:uiPriority w:val="99"/>
    <w:rPr>
      <w:sz w:val="28"/>
    </w:rPr>
  </w:style>
  <w:style w:type="character" w:customStyle="1" w:styleId="243">
    <w:name w:val="纯文本 字符"/>
    <w:basedOn w:val="92"/>
    <w:link w:val="45"/>
    <w:semiHidden/>
    <w:locked/>
    <w:uiPriority w:val="99"/>
    <w:rPr>
      <w:rFonts w:ascii="宋体" w:hAnsi="Courier New" w:eastAsia="宋体" w:cs="Courier New"/>
      <w:sz w:val="21"/>
      <w:szCs w:val="21"/>
    </w:rPr>
  </w:style>
  <w:style w:type="character" w:customStyle="1" w:styleId="244">
    <w:name w:val="纯文本 字符1"/>
    <w:basedOn w:val="92"/>
    <w:semiHidden/>
    <w:qFormat/>
    <w:uiPriority w:val="99"/>
    <w:rPr>
      <w:rFonts w:ascii="等线" w:hAnsi="Courier New" w:cs="Courier New"/>
    </w:rPr>
  </w:style>
  <w:style w:type="paragraph" w:customStyle="1" w:styleId="245">
    <w:name w:val="标题 图"/>
    <w:qFormat/>
    <w:uiPriority w:val="99"/>
    <w:pPr>
      <w:numPr>
        <w:ilvl w:val="6"/>
        <w:numId w:val="8"/>
      </w:numPr>
      <w:tabs>
        <w:tab w:val="left" w:pos="2240"/>
      </w:tabs>
      <w:ind w:left="1560" w:firstLine="0"/>
      <w:jc w:val="center"/>
    </w:pPr>
    <w:rPr>
      <w:rFonts w:ascii="Times New Roman" w:hAnsi="Times New Roman" w:eastAsia="宋体" w:cs="Calibri"/>
      <w:b/>
      <w:bCs/>
      <w:kern w:val="0"/>
      <w:sz w:val="18"/>
      <w:szCs w:val="20"/>
      <w:lang w:val="en-US" w:eastAsia="zh-CN" w:bidi="ar-SA"/>
    </w:rPr>
  </w:style>
  <w:style w:type="paragraph" w:customStyle="1" w:styleId="246">
    <w:name w:val="msolistparagraph"/>
    <w:basedOn w:val="1"/>
    <w:qFormat/>
    <w:uiPriority w:val="99"/>
    <w:pPr>
      <w:ind w:firstLine="420" w:firstLineChars="200"/>
    </w:pPr>
  </w:style>
  <w:style w:type="character" w:customStyle="1" w:styleId="247">
    <w:name w:val="结束语 字符"/>
    <w:basedOn w:val="92"/>
    <w:link w:val="33"/>
    <w:semiHidden/>
    <w:locked/>
    <w:uiPriority w:val="99"/>
    <w:rPr>
      <w:rFonts w:ascii="Times New Roman" w:hAnsi="Times New Roman" w:eastAsia="宋体" w:cs="Times New Roman"/>
    </w:rPr>
  </w:style>
  <w:style w:type="character" w:customStyle="1" w:styleId="248">
    <w:name w:val="结束语 字符1"/>
    <w:basedOn w:val="92"/>
    <w:semiHidden/>
    <w:qFormat/>
    <w:uiPriority w:val="99"/>
    <w:rPr>
      <w:rFonts w:ascii="Times New Roman" w:hAnsi="Times New Roman" w:eastAsia="宋体" w:cs="Times New Roman"/>
    </w:rPr>
  </w:style>
  <w:style w:type="character" w:customStyle="1" w:styleId="249">
    <w:name w:val="批注文字 字符1"/>
    <w:basedOn w:val="92"/>
    <w:link w:val="29"/>
    <w:semiHidden/>
    <w:locked/>
    <w:uiPriority w:val="99"/>
    <w:rPr>
      <w:rFonts w:ascii="Times New Roman" w:hAnsi="Times New Roman" w:eastAsia="宋体" w:cs="Times New Roman"/>
    </w:rPr>
  </w:style>
  <w:style w:type="character" w:customStyle="1" w:styleId="250">
    <w:name w:val="批注文字 字符2"/>
    <w:basedOn w:val="92"/>
    <w:semiHidden/>
    <w:uiPriority w:val="99"/>
    <w:rPr>
      <w:rFonts w:ascii="Times New Roman" w:hAnsi="Times New Roman" w:eastAsia="宋体" w:cs="Times New Roman"/>
    </w:rPr>
  </w:style>
  <w:style w:type="paragraph" w:customStyle="1" w:styleId="251">
    <w:name w:val="列表段落1"/>
    <w:basedOn w:val="1"/>
    <w:uiPriority w:val="99"/>
    <w:pPr>
      <w:ind w:firstLine="420" w:firstLineChars="200"/>
    </w:pPr>
    <w:rPr>
      <w:rFonts w:ascii="Calibri" w:hAnsi="Calibri"/>
    </w:rPr>
  </w:style>
  <w:style w:type="character" w:customStyle="1" w:styleId="252">
    <w:name w:val="批注主题 字符1"/>
    <w:basedOn w:val="182"/>
    <w:link w:val="85"/>
    <w:semiHidden/>
    <w:locked/>
    <w:uiPriority w:val="99"/>
    <w:rPr>
      <w:rFonts w:ascii="Times New Roman" w:hAnsi="Times New Roman" w:eastAsia="宋体" w:cs="Times New Roman"/>
      <w:b/>
      <w:bCs/>
      <w:sz w:val="24"/>
    </w:rPr>
  </w:style>
  <w:style w:type="character" w:customStyle="1" w:styleId="253">
    <w:name w:val="批注主题 字符2"/>
    <w:basedOn w:val="250"/>
    <w:semiHidden/>
    <w:qFormat/>
    <w:uiPriority w:val="99"/>
    <w:rPr>
      <w:rFonts w:ascii="Times New Roman" w:hAnsi="Times New Roman" w:eastAsia="宋体" w:cs="Times New Roman"/>
      <w:b/>
      <w:bCs/>
    </w:rPr>
  </w:style>
  <w:style w:type="paragraph" w:customStyle="1" w:styleId="254">
    <w:name w:val="彩色列表 - 强调文字颜色 11"/>
    <w:basedOn w:val="1"/>
    <w:uiPriority w:val="99"/>
    <w:pPr>
      <w:spacing w:line="600" w:lineRule="exact"/>
      <w:ind w:firstLine="420" w:firstLineChars="200"/>
    </w:pPr>
    <w:rPr>
      <w:rFonts w:ascii="Cambria" w:hAnsi="Cambria"/>
      <w:sz w:val="24"/>
      <w:szCs w:val="24"/>
    </w:rPr>
  </w:style>
  <w:style w:type="paragraph" w:customStyle="1" w:styleId="255">
    <w:name w:val="TOC 标题21"/>
    <w:basedOn w:val="4"/>
    <w:next w:val="1"/>
    <w:uiPriority w:val="99"/>
    <w:pPr>
      <w:keepNext/>
      <w:keepLines/>
      <w:spacing w:before="240" w:line="259" w:lineRule="auto"/>
      <w:ind w:firstLine="0" w:firstLineChars="0"/>
      <w:outlineLvl w:val="9"/>
    </w:pPr>
    <w:rPr>
      <w:rFonts w:ascii="Cambria" w:hAnsi="Cambria" w:eastAsia="宋体"/>
      <w:b w:val="0"/>
      <w:bCs w:val="0"/>
      <w:color w:val="365F91"/>
      <w:kern w:val="0"/>
      <w:szCs w:val="32"/>
    </w:rPr>
  </w:style>
  <w:style w:type="character" w:customStyle="1" w:styleId="256">
    <w:name w:val="正文文本 2 字符"/>
    <w:basedOn w:val="92"/>
    <w:link w:val="76"/>
    <w:semiHidden/>
    <w:locked/>
    <w:uiPriority w:val="99"/>
    <w:rPr>
      <w:rFonts w:ascii="Times New Roman" w:hAnsi="Times New Roman" w:eastAsia="宋体" w:cs="Times New Roman"/>
    </w:rPr>
  </w:style>
  <w:style w:type="character" w:customStyle="1" w:styleId="257">
    <w:name w:val="正文文本 2 字符1"/>
    <w:basedOn w:val="92"/>
    <w:semiHidden/>
    <w:uiPriority w:val="99"/>
    <w:rPr>
      <w:rFonts w:ascii="Times New Roman" w:hAnsi="Times New Roman" w:eastAsia="宋体" w:cs="Times New Roman"/>
    </w:rPr>
  </w:style>
  <w:style w:type="paragraph" w:customStyle="1" w:styleId="258">
    <w:name w:val="修订21"/>
    <w:semiHidden/>
    <w:uiPriority w:val="99"/>
    <w:rPr>
      <w:rFonts w:ascii="Times New Roman" w:hAnsi="Times New Roman" w:eastAsia="宋体" w:cs="Times New Roman"/>
      <w:kern w:val="2"/>
      <w:sz w:val="21"/>
      <w:szCs w:val="22"/>
      <w:lang w:val="en-US" w:eastAsia="zh-CN" w:bidi="ar-SA"/>
    </w:rPr>
  </w:style>
  <w:style w:type="paragraph" w:customStyle="1" w:styleId="259">
    <w:name w:val="样式 标题 2 + 左侧:  0 厘米 首行缩进:  0 厘米"/>
    <w:basedOn w:val="5"/>
    <w:uiPriority w:val="99"/>
    <w:pPr>
      <w:numPr>
        <w:ilvl w:val="0"/>
        <w:numId w:val="9"/>
      </w:numPr>
      <w:tabs>
        <w:tab w:val="left" w:pos="960"/>
        <w:tab w:val="clear" w:pos="1620"/>
      </w:tabs>
      <w:spacing w:beforeLines="50" w:after="0" w:line="500" w:lineRule="exact"/>
      <w:ind w:left="960" w:firstLine="0"/>
      <w:jc w:val="left"/>
    </w:pPr>
    <w:rPr>
      <w:rFonts w:ascii="黑体" w:hAnsi="黑体" w:eastAsia="黑体" w:cs="宋体"/>
      <w:b w:val="0"/>
      <w:bCs w:val="0"/>
      <w:sz w:val="30"/>
      <w:szCs w:val="20"/>
    </w:rPr>
  </w:style>
  <w:style w:type="paragraph" w:customStyle="1" w:styleId="260">
    <w:name w:val="m标题4"/>
    <w:basedOn w:val="1"/>
    <w:semiHidden/>
    <w:uiPriority w:val="99"/>
    <w:pPr>
      <w:tabs>
        <w:tab w:val="left" w:pos="420"/>
      </w:tabs>
      <w:spacing w:line="360" w:lineRule="auto"/>
      <w:ind w:left="420"/>
    </w:pPr>
    <w:rPr>
      <w:b/>
      <w:szCs w:val="24"/>
    </w:rPr>
  </w:style>
  <w:style w:type="paragraph" w:customStyle="1" w:styleId="261">
    <w:name w:val="m标题3"/>
    <w:basedOn w:val="6"/>
    <w:semiHidden/>
    <w:uiPriority w:val="99"/>
    <w:pPr>
      <w:numPr>
        <w:ilvl w:val="0"/>
        <w:numId w:val="10"/>
      </w:numPr>
      <w:tabs>
        <w:tab w:val="left" w:pos="0"/>
        <w:tab w:val="clear" w:pos="1200"/>
      </w:tabs>
      <w:spacing w:before="120" w:after="120" w:line="240" w:lineRule="auto"/>
      <w:ind w:left="0" w:firstLine="0"/>
    </w:pPr>
    <w:rPr>
      <w:rFonts w:eastAsia="仿宋" w:cs="Arial"/>
      <w:bCs w:val="0"/>
      <w:szCs w:val="21"/>
    </w:rPr>
  </w:style>
  <w:style w:type="character" w:customStyle="1" w:styleId="262">
    <w:name w:val="电子邮件签名 字符"/>
    <w:basedOn w:val="92"/>
    <w:link w:val="20"/>
    <w:semiHidden/>
    <w:qFormat/>
    <w:locked/>
    <w:uiPriority w:val="99"/>
    <w:rPr>
      <w:rFonts w:ascii="Times New Roman" w:hAnsi="Times New Roman" w:eastAsia="宋体" w:cs="Times New Roman"/>
    </w:rPr>
  </w:style>
  <w:style w:type="character" w:customStyle="1" w:styleId="263">
    <w:name w:val="电子邮件签名 字符1"/>
    <w:basedOn w:val="92"/>
    <w:semiHidden/>
    <w:uiPriority w:val="99"/>
    <w:rPr>
      <w:rFonts w:ascii="Times New Roman" w:hAnsi="Times New Roman" w:eastAsia="宋体" w:cs="Times New Roman"/>
    </w:rPr>
  </w:style>
  <w:style w:type="character" w:customStyle="1" w:styleId="264">
    <w:name w:val="批注框文本 字符1"/>
    <w:basedOn w:val="92"/>
    <w:link w:val="54"/>
    <w:semiHidden/>
    <w:locked/>
    <w:uiPriority w:val="99"/>
    <w:rPr>
      <w:rFonts w:ascii="Times New Roman" w:hAnsi="Times New Roman" w:eastAsia="宋体" w:cs="Times New Roman"/>
      <w:sz w:val="2"/>
    </w:rPr>
  </w:style>
  <w:style w:type="character" w:customStyle="1" w:styleId="265">
    <w:name w:val="批注框文本 字符2"/>
    <w:basedOn w:val="92"/>
    <w:semiHidden/>
    <w:qFormat/>
    <w:uiPriority w:val="99"/>
    <w:rPr>
      <w:rFonts w:ascii="Times New Roman" w:hAnsi="Times New Roman" w:eastAsia="宋体" w:cs="Times New Roman"/>
      <w:sz w:val="18"/>
      <w:szCs w:val="18"/>
    </w:rPr>
  </w:style>
  <w:style w:type="paragraph" w:customStyle="1" w:styleId="266">
    <w:name w:val="paragraph"/>
    <w:basedOn w:val="1"/>
    <w:uiPriority w:val="99"/>
    <w:pPr>
      <w:widowControl/>
      <w:spacing w:before="100" w:beforeAutospacing="1" w:after="100" w:afterAutospacing="1"/>
      <w:jc w:val="left"/>
    </w:pPr>
    <w:rPr>
      <w:rFonts w:ascii="宋体" w:hAnsi="宋体" w:cs="宋体"/>
      <w:kern w:val="0"/>
      <w:sz w:val="24"/>
      <w:szCs w:val="24"/>
    </w:rPr>
  </w:style>
  <w:style w:type="character" w:customStyle="1" w:styleId="267">
    <w:name w:val="日期 字符1"/>
    <w:basedOn w:val="92"/>
    <w:link w:val="50"/>
    <w:semiHidden/>
    <w:qFormat/>
    <w:locked/>
    <w:uiPriority w:val="99"/>
    <w:rPr>
      <w:rFonts w:ascii="Times New Roman" w:hAnsi="Times New Roman" w:eastAsia="宋体" w:cs="Times New Roman"/>
    </w:rPr>
  </w:style>
  <w:style w:type="character" w:customStyle="1" w:styleId="268">
    <w:name w:val="日期 字符2"/>
    <w:basedOn w:val="92"/>
    <w:semiHidden/>
    <w:uiPriority w:val="99"/>
    <w:rPr>
      <w:rFonts w:ascii="Times New Roman" w:hAnsi="Times New Roman" w:eastAsia="宋体" w:cs="Times New Roman"/>
    </w:rPr>
  </w:style>
  <w:style w:type="paragraph" w:customStyle="1" w:styleId="269">
    <w:name w:val="xl70"/>
    <w:basedOn w:val="1"/>
    <w:qFormat/>
    <w:uiPriority w:val="99"/>
    <w:pPr>
      <w:widowControl/>
      <w:pBdr>
        <w:top w:val="single" w:color="999999" w:sz="4" w:space="0"/>
      </w:pBdr>
      <w:spacing w:before="100" w:beforeAutospacing="1" w:after="100" w:afterAutospacing="1"/>
      <w:jc w:val="left"/>
    </w:pPr>
    <w:rPr>
      <w:rFonts w:ascii="宋体" w:hAnsi="宋体" w:cs="宋体"/>
      <w:kern w:val="0"/>
      <w:sz w:val="24"/>
      <w:szCs w:val="24"/>
    </w:rPr>
  </w:style>
  <w:style w:type="paragraph" w:customStyle="1" w:styleId="270">
    <w:name w:val="Table Paragraph"/>
    <w:basedOn w:val="1"/>
    <w:uiPriority w:val="99"/>
    <w:pPr>
      <w:autoSpaceDE w:val="0"/>
      <w:autoSpaceDN w:val="0"/>
      <w:jc w:val="left"/>
    </w:pPr>
    <w:rPr>
      <w:rFonts w:ascii="仿宋" w:hAnsi="仿宋" w:eastAsia="仿宋" w:cs="仿宋"/>
      <w:kern w:val="0"/>
      <w:sz w:val="22"/>
      <w:lang w:val="zh-CN"/>
    </w:rPr>
  </w:style>
  <w:style w:type="character" w:customStyle="1" w:styleId="271">
    <w:name w:val="宏文本 字符"/>
    <w:basedOn w:val="92"/>
    <w:link w:val="3"/>
    <w:semiHidden/>
    <w:qFormat/>
    <w:locked/>
    <w:uiPriority w:val="99"/>
    <w:rPr>
      <w:rFonts w:ascii="Courier New" w:hAnsi="Courier New" w:cs="Times New Roman"/>
      <w:kern w:val="2"/>
      <w:sz w:val="24"/>
      <w:lang w:val="en-US" w:eastAsia="zh-CN" w:bidi="ar-SA"/>
    </w:rPr>
  </w:style>
  <w:style w:type="character" w:customStyle="1" w:styleId="272">
    <w:name w:val="宏文本 字符1"/>
    <w:basedOn w:val="92"/>
    <w:semiHidden/>
    <w:uiPriority w:val="99"/>
    <w:rPr>
      <w:rFonts w:ascii="Courier New" w:hAnsi="Courier New" w:eastAsia="宋体" w:cs="Courier New"/>
      <w:sz w:val="24"/>
      <w:szCs w:val="24"/>
    </w:rPr>
  </w:style>
  <w:style w:type="paragraph" w:customStyle="1" w:styleId="273">
    <w:name w:val="p0"/>
    <w:basedOn w:val="1"/>
    <w:uiPriority w:val="99"/>
    <w:pPr>
      <w:widowControl/>
      <w:spacing w:line="600" w:lineRule="exact"/>
      <w:ind w:firstLine="200" w:firstLineChars="200"/>
    </w:pPr>
    <w:rPr>
      <w:kern w:val="0"/>
      <w:sz w:val="30"/>
      <w:szCs w:val="21"/>
    </w:rPr>
  </w:style>
  <w:style w:type="character" w:customStyle="1" w:styleId="274">
    <w:name w:val="称呼 字符"/>
    <w:basedOn w:val="92"/>
    <w:link w:val="31"/>
    <w:semiHidden/>
    <w:locked/>
    <w:uiPriority w:val="99"/>
    <w:rPr>
      <w:rFonts w:ascii="Times New Roman" w:hAnsi="Times New Roman" w:eastAsia="宋体" w:cs="Times New Roman"/>
    </w:rPr>
  </w:style>
  <w:style w:type="character" w:customStyle="1" w:styleId="275">
    <w:name w:val="称呼 字符1"/>
    <w:basedOn w:val="92"/>
    <w:semiHidden/>
    <w:uiPriority w:val="99"/>
    <w:rPr>
      <w:rFonts w:ascii="Times New Roman" w:hAnsi="Times New Roman" w:eastAsia="宋体" w:cs="Times New Roman"/>
    </w:rPr>
  </w:style>
  <w:style w:type="character" w:customStyle="1" w:styleId="276">
    <w:name w:val="正文文本 字符1"/>
    <w:basedOn w:val="92"/>
    <w:link w:val="2"/>
    <w:semiHidden/>
    <w:locked/>
    <w:uiPriority w:val="99"/>
    <w:rPr>
      <w:rFonts w:ascii="Times New Roman" w:hAnsi="Times New Roman" w:eastAsia="宋体" w:cs="Times New Roman"/>
    </w:rPr>
  </w:style>
  <w:style w:type="character" w:customStyle="1" w:styleId="277">
    <w:name w:val="正文文本 字符2"/>
    <w:basedOn w:val="92"/>
    <w:semiHidden/>
    <w:uiPriority w:val="99"/>
    <w:rPr>
      <w:rFonts w:ascii="Times New Roman" w:hAnsi="Times New Roman" w:eastAsia="宋体" w:cs="Times New Roman"/>
    </w:rPr>
  </w:style>
  <w:style w:type="character" w:customStyle="1" w:styleId="278">
    <w:name w:val="正文首行缩进 字符"/>
    <w:basedOn w:val="233"/>
    <w:link w:val="86"/>
    <w:semiHidden/>
    <w:locked/>
    <w:uiPriority w:val="99"/>
    <w:rPr>
      <w:rFonts w:ascii="Times New Roman" w:hAnsi="Times New Roman" w:eastAsia="宋体" w:cs="Times New Roman"/>
      <w:sz w:val="44"/>
    </w:rPr>
  </w:style>
  <w:style w:type="character" w:customStyle="1" w:styleId="279">
    <w:name w:val="正文首行缩进 字符1"/>
    <w:basedOn w:val="277"/>
    <w:semiHidden/>
    <w:uiPriority w:val="99"/>
    <w:rPr>
      <w:rFonts w:ascii="Times New Roman" w:hAnsi="Times New Roman" w:eastAsia="宋体" w:cs="Times New Roman"/>
    </w:rPr>
  </w:style>
  <w:style w:type="paragraph" w:customStyle="1" w:styleId="280">
    <w:name w:val="标题 表"/>
    <w:uiPriority w:val="99"/>
    <w:pPr>
      <w:numPr>
        <w:ilvl w:val="5"/>
        <w:numId w:val="8"/>
      </w:numPr>
      <w:tabs>
        <w:tab w:val="left" w:pos="2664"/>
      </w:tabs>
      <w:ind w:left="1984" w:firstLine="0"/>
      <w:jc w:val="center"/>
    </w:pPr>
    <w:rPr>
      <w:rFonts w:ascii="Times New Roman" w:hAnsi="Times New Roman" w:eastAsia="宋体" w:cs="Calibri"/>
      <w:b/>
      <w:bCs/>
      <w:kern w:val="2"/>
      <w:sz w:val="18"/>
      <w:szCs w:val="20"/>
      <w:lang w:val="en-US" w:eastAsia="zh-CN" w:bidi="ar-SA"/>
    </w:rPr>
  </w:style>
  <w:style w:type="paragraph" w:customStyle="1" w:styleId="281">
    <w:name w:val="xl69"/>
    <w:basedOn w:val="1"/>
    <w:uiPriority w:val="99"/>
    <w:pPr>
      <w:widowControl/>
      <w:pBdr>
        <w:right w:val="single" w:color="999999" w:sz="4" w:space="0"/>
      </w:pBdr>
      <w:spacing w:before="100" w:beforeAutospacing="1" w:after="100" w:afterAutospacing="1"/>
      <w:jc w:val="left"/>
    </w:pPr>
    <w:rPr>
      <w:rFonts w:ascii="宋体" w:hAnsi="宋体" w:cs="宋体"/>
      <w:kern w:val="0"/>
      <w:sz w:val="24"/>
      <w:szCs w:val="24"/>
    </w:rPr>
  </w:style>
  <w:style w:type="paragraph" w:customStyle="1" w:styleId="282">
    <w:name w:val="Default"/>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283">
    <w:name w:val="脚注文本 字符2"/>
    <w:basedOn w:val="92"/>
    <w:link w:val="67"/>
    <w:semiHidden/>
    <w:qFormat/>
    <w:locked/>
    <w:uiPriority w:val="99"/>
    <w:rPr>
      <w:rFonts w:ascii="Times New Roman" w:hAnsi="Times New Roman" w:eastAsia="宋体" w:cs="Times New Roman"/>
      <w:sz w:val="18"/>
      <w:szCs w:val="18"/>
    </w:rPr>
  </w:style>
  <w:style w:type="character" w:customStyle="1" w:styleId="284">
    <w:name w:val="脚注文本 字符3"/>
    <w:basedOn w:val="92"/>
    <w:semiHidden/>
    <w:uiPriority w:val="99"/>
    <w:rPr>
      <w:rFonts w:ascii="Times New Roman" w:hAnsi="Times New Roman" w:eastAsia="宋体" w:cs="Times New Roman"/>
      <w:sz w:val="18"/>
      <w:szCs w:val="18"/>
    </w:rPr>
  </w:style>
  <w:style w:type="paragraph" w:customStyle="1" w:styleId="285">
    <w:name w:val="正文 真"/>
    <w:qFormat/>
    <w:uiPriority w:val="99"/>
    <w:pPr>
      <w:spacing w:line="360" w:lineRule="auto"/>
      <w:ind w:left="100" w:leftChars="100" w:firstLine="200" w:firstLineChars="200"/>
      <w:jc w:val="both"/>
    </w:pPr>
    <w:rPr>
      <w:rFonts w:ascii="Times New Roman" w:hAnsi="Times New Roman" w:eastAsia="宋体" w:cs="Calibri"/>
      <w:kern w:val="0"/>
      <w:sz w:val="21"/>
      <w:szCs w:val="21"/>
      <w:lang w:val="en-US" w:eastAsia="zh-CN" w:bidi="ar-SA"/>
    </w:rPr>
  </w:style>
  <w:style w:type="character" w:customStyle="1" w:styleId="286">
    <w:name w:val="文档结构图 字符"/>
    <w:basedOn w:val="92"/>
    <w:link w:val="27"/>
    <w:semiHidden/>
    <w:locked/>
    <w:uiPriority w:val="99"/>
    <w:rPr>
      <w:rFonts w:ascii="Times New Roman" w:hAnsi="Times New Roman" w:eastAsia="宋体" w:cs="Times New Roman"/>
      <w:sz w:val="2"/>
    </w:rPr>
  </w:style>
  <w:style w:type="character" w:customStyle="1" w:styleId="287">
    <w:name w:val="文档结构图 字符1"/>
    <w:basedOn w:val="92"/>
    <w:semiHidden/>
    <w:qFormat/>
    <w:uiPriority w:val="99"/>
    <w:rPr>
      <w:rFonts w:ascii="Microsoft YaHei UI" w:hAnsi="Times New Roman" w:eastAsia="Microsoft YaHei UI" w:cs="Times New Roman"/>
      <w:sz w:val="18"/>
      <w:szCs w:val="18"/>
    </w:rPr>
  </w:style>
  <w:style w:type="paragraph" w:customStyle="1" w:styleId="288">
    <w:name w:val="表格_正文"/>
    <w:uiPriority w:val="99"/>
    <w:pPr>
      <w:spacing w:line="300" w:lineRule="atLeast"/>
      <w:ind w:left="101" w:leftChars="50"/>
      <w:jc w:val="both"/>
    </w:pPr>
    <w:rPr>
      <w:rFonts w:ascii="Times New Roman" w:hAnsi="Times New Roman" w:eastAsia="宋体" w:cs="Times New Roman"/>
      <w:kern w:val="0"/>
      <w:sz w:val="18"/>
      <w:szCs w:val="18"/>
      <w:lang w:val="en-US" w:eastAsia="zh-CN" w:bidi="ar-SA"/>
    </w:rPr>
  </w:style>
  <w:style w:type="paragraph" w:customStyle="1" w:styleId="289">
    <w:name w:val="修订3"/>
    <w:uiPriority w:val="99"/>
    <w:rPr>
      <w:rFonts w:ascii="Times New Roman" w:hAnsi="Times New Roman" w:eastAsia="宋体" w:cs="Times New Roman"/>
      <w:kern w:val="2"/>
      <w:sz w:val="21"/>
      <w:szCs w:val="22"/>
      <w:lang w:val="en-US" w:eastAsia="zh-CN" w:bidi="ar-SA"/>
    </w:rPr>
  </w:style>
  <w:style w:type="character" w:customStyle="1" w:styleId="290">
    <w:name w:val="正文文本缩进 字符1"/>
    <w:basedOn w:val="92"/>
    <w:link w:val="35"/>
    <w:semiHidden/>
    <w:qFormat/>
    <w:locked/>
    <w:uiPriority w:val="99"/>
    <w:rPr>
      <w:rFonts w:ascii="Times New Roman" w:hAnsi="Times New Roman" w:eastAsia="宋体" w:cs="Times New Roman"/>
    </w:rPr>
  </w:style>
  <w:style w:type="character" w:customStyle="1" w:styleId="291">
    <w:name w:val="正文首行缩进 2 字符"/>
    <w:basedOn w:val="290"/>
    <w:link w:val="87"/>
    <w:semiHidden/>
    <w:qFormat/>
    <w:locked/>
    <w:uiPriority w:val="99"/>
    <w:rPr>
      <w:rFonts w:ascii="Times New Roman" w:hAnsi="Times New Roman" w:eastAsia="宋体" w:cs="Times New Roman"/>
    </w:rPr>
  </w:style>
  <w:style w:type="character" w:customStyle="1" w:styleId="292">
    <w:name w:val="正文首行缩进 2 字符1"/>
    <w:basedOn w:val="290"/>
    <w:semiHidden/>
    <w:uiPriority w:val="99"/>
    <w:rPr>
      <w:rFonts w:ascii="Times New Roman" w:hAnsi="Times New Roman" w:eastAsia="宋体" w:cs="Times New Roman"/>
    </w:rPr>
  </w:style>
  <w:style w:type="paragraph" w:customStyle="1" w:styleId="293">
    <w:name w:val="无间隔1"/>
    <w:uiPriority w:val="99"/>
    <w:pPr>
      <w:widowControl w:val="0"/>
      <w:ind w:firstLine="200" w:firstLineChars="200"/>
      <w:jc w:val="both"/>
    </w:pPr>
    <w:rPr>
      <w:rFonts w:ascii="Times New Roman" w:hAnsi="Times New Roman" w:eastAsia="仿宋" w:cs="Times New Roman"/>
      <w:kern w:val="2"/>
      <w:sz w:val="30"/>
      <w:szCs w:val="22"/>
      <w:lang w:val="en-US" w:eastAsia="zh-CN" w:bidi="ar-SA"/>
    </w:rPr>
  </w:style>
  <w:style w:type="character" w:customStyle="1" w:styleId="294">
    <w:name w:val="信息标题 字符"/>
    <w:basedOn w:val="92"/>
    <w:link w:val="79"/>
    <w:semiHidden/>
    <w:qFormat/>
    <w:locked/>
    <w:uiPriority w:val="99"/>
    <w:rPr>
      <w:rFonts w:ascii="Cambria" w:hAnsi="Cambria" w:eastAsia="宋体" w:cs="Times New Roman"/>
      <w:sz w:val="24"/>
      <w:szCs w:val="24"/>
      <w:shd w:val="pct20" w:color="auto" w:fill="auto"/>
    </w:rPr>
  </w:style>
  <w:style w:type="character" w:customStyle="1" w:styleId="295">
    <w:name w:val="信息标题 字符1"/>
    <w:basedOn w:val="92"/>
    <w:semiHidden/>
    <w:qFormat/>
    <w:uiPriority w:val="99"/>
    <w:rPr>
      <w:rFonts w:ascii="等线 Light" w:hAnsi="等线 Light" w:eastAsia="等线 Light" w:cs="Times New Roman"/>
      <w:sz w:val="24"/>
      <w:szCs w:val="24"/>
      <w:shd w:val="pct20" w:color="auto" w:fill="auto"/>
    </w:rPr>
  </w:style>
  <w:style w:type="character" w:customStyle="1" w:styleId="296">
    <w:name w:val="HTML 地址 字符"/>
    <w:basedOn w:val="92"/>
    <w:link w:val="41"/>
    <w:semiHidden/>
    <w:locked/>
    <w:uiPriority w:val="99"/>
    <w:rPr>
      <w:rFonts w:ascii="Times New Roman" w:hAnsi="Times New Roman" w:eastAsia="宋体" w:cs="Times New Roman"/>
      <w:i/>
      <w:iCs/>
    </w:rPr>
  </w:style>
  <w:style w:type="character" w:customStyle="1" w:styleId="297">
    <w:name w:val="HTML 地址 字符1"/>
    <w:basedOn w:val="92"/>
    <w:semiHidden/>
    <w:qFormat/>
    <w:uiPriority w:val="99"/>
    <w:rPr>
      <w:rFonts w:ascii="Times New Roman" w:hAnsi="Times New Roman" w:eastAsia="宋体" w:cs="Times New Roman"/>
      <w:i/>
      <w:iCs/>
    </w:rPr>
  </w:style>
  <w:style w:type="paragraph" w:customStyle="1" w:styleId="298">
    <w:name w:val="注"/>
    <w:qFormat/>
    <w:uiPriority w:val="99"/>
    <w:pPr>
      <w:ind w:left="100" w:leftChars="100"/>
    </w:pPr>
    <w:rPr>
      <w:rFonts w:ascii="Times New Roman" w:hAnsi="Times New Roman" w:eastAsia="宋体" w:cs="宋体"/>
      <w:kern w:val="0"/>
      <w:sz w:val="18"/>
      <w:szCs w:val="20"/>
      <w:lang w:val="en-US" w:eastAsia="zh-CN" w:bidi="ar-SA"/>
    </w:rPr>
  </w:style>
  <w:style w:type="character" w:customStyle="1" w:styleId="299">
    <w:name w:val="注释标题 字符"/>
    <w:basedOn w:val="92"/>
    <w:link w:val="17"/>
    <w:semiHidden/>
    <w:locked/>
    <w:uiPriority w:val="99"/>
    <w:rPr>
      <w:rFonts w:ascii="Times New Roman" w:hAnsi="Times New Roman" w:eastAsia="宋体" w:cs="Times New Roman"/>
    </w:rPr>
  </w:style>
  <w:style w:type="character" w:customStyle="1" w:styleId="300">
    <w:name w:val="注释标题 字符1"/>
    <w:basedOn w:val="92"/>
    <w:semiHidden/>
    <w:uiPriority w:val="99"/>
    <w:rPr>
      <w:rFonts w:ascii="Times New Roman" w:hAnsi="Times New Roman" w:eastAsia="宋体" w:cs="Times New Roman"/>
    </w:rPr>
  </w:style>
  <w:style w:type="paragraph" w:customStyle="1" w:styleId="301">
    <w:name w:val="注释_正文"/>
    <w:basedOn w:val="1"/>
    <w:uiPriority w:val="99"/>
    <w:pPr>
      <w:spacing w:afterLines="50"/>
      <w:ind w:firstLine="200" w:firstLineChars="200"/>
    </w:pPr>
    <w:rPr>
      <w:rFonts w:eastAsia="楷体_GB2312"/>
      <w:szCs w:val="24"/>
    </w:rPr>
  </w:style>
  <w:style w:type="paragraph" w:customStyle="1" w:styleId="302">
    <w:name w:val="表格_表题"/>
    <w:uiPriority w:val="99"/>
    <w:pPr>
      <w:spacing w:line="300" w:lineRule="atLeast"/>
      <w:jc w:val="center"/>
    </w:pPr>
    <w:rPr>
      <w:rFonts w:ascii="Arial" w:hAnsi="Arial" w:eastAsia="黑体" w:cs="Arial"/>
      <w:kern w:val="0"/>
      <w:sz w:val="18"/>
      <w:szCs w:val="18"/>
      <w:lang w:val="en-US" w:eastAsia="zh-CN" w:bidi="ar-SA"/>
    </w:rPr>
  </w:style>
  <w:style w:type="paragraph" w:customStyle="1" w:styleId="303">
    <w:name w:val="部分"/>
    <w:basedOn w:val="4"/>
    <w:qFormat/>
    <w:uiPriority w:val="99"/>
    <w:pPr>
      <w:widowControl w:val="0"/>
      <w:spacing w:afterLines="100" w:line="360" w:lineRule="auto"/>
      <w:ind w:firstLine="0" w:firstLineChars="0"/>
      <w:jc w:val="center"/>
    </w:pPr>
    <w:rPr>
      <w:rFonts w:ascii="黑体" w:hAnsi="Times New Roman"/>
      <w:bCs w:val="0"/>
      <w:kern w:val="2"/>
      <w:sz w:val="44"/>
      <w:szCs w:val="44"/>
    </w:rPr>
  </w:style>
  <w:style w:type="paragraph" w:customStyle="1" w:styleId="304">
    <w:name w:val="标题4 号码"/>
    <w:uiPriority w:val="99"/>
    <w:pPr>
      <w:numPr>
        <w:ilvl w:val="3"/>
        <w:numId w:val="8"/>
      </w:numPr>
      <w:ind w:left="0" w:firstLine="0"/>
    </w:pPr>
    <w:rPr>
      <w:rFonts w:ascii="Times New Roman" w:hAnsi="Times New Roman" w:eastAsia="宋体" w:cs="Times New Roman"/>
      <w:b/>
      <w:bCs/>
      <w:kern w:val="0"/>
      <w:sz w:val="21"/>
      <w:szCs w:val="24"/>
      <w:lang w:val="en-US" w:eastAsia="zh-CN" w:bidi="ar-SA"/>
    </w:rPr>
  </w:style>
  <w:style w:type="paragraph" w:customStyle="1" w:styleId="305">
    <w:name w:val="标题1 章"/>
    <w:next w:val="1"/>
    <w:uiPriority w:val="99"/>
    <w:pPr>
      <w:spacing w:line="360" w:lineRule="auto"/>
    </w:pPr>
    <w:rPr>
      <w:rFonts w:ascii="Times New Roman" w:hAnsi="Times New Roman" w:eastAsia="宋体" w:cs="Times New Roman"/>
      <w:b/>
      <w:bCs/>
      <w:kern w:val="2"/>
      <w:sz w:val="44"/>
      <w:szCs w:val="44"/>
      <w:lang w:val="en-US" w:eastAsia="zh-CN" w:bidi="ar-SA"/>
    </w:rPr>
  </w:style>
  <w:style w:type="paragraph" w:customStyle="1" w:styleId="306">
    <w:name w:val="表格_表头"/>
    <w:uiPriority w:val="99"/>
    <w:pPr>
      <w:spacing w:beforeLines="50"/>
      <w:jc w:val="center"/>
    </w:pPr>
    <w:rPr>
      <w:rFonts w:ascii="Arial" w:hAnsi="Arial" w:eastAsia="黑体" w:cs="Arial"/>
      <w:kern w:val="0"/>
      <w:sz w:val="18"/>
      <w:szCs w:val="20"/>
      <w:lang w:val="en-US" w:eastAsia="zh-CN" w:bidi="ar-SA"/>
    </w:rPr>
  </w:style>
  <w:style w:type="character" w:customStyle="1" w:styleId="307">
    <w:name w:val="正文文本 3 字符"/>
    <w:basedOn w:val="92"/>
    <w:link w:val="32"/>
    <w:semiHidden/>
    <w:locked/>
    <w:uiPriority w:val="99"/>
    <w:rPr>
      <w:rFonts w:ascii="Times New Roman" w:hAnsi="Times New Roman" w:eastAsia="宋体" w:cs="Times New Roman"/>
      <w:sz w:val="16"/>
      <w:szCs w:val="16"/>
    </w:rPr>
  </w:style>
  <w:style w:type="character" w:customStyle="1" w:styleId="308">
    <w:name w:val="正文文本 3 字符1"/>
    <w:basedOn w:val="92"/>
    <w:semiHidden/>
    <w:uiPriority w:val="99"/>
    <w:rPr>
      <w:rFonts w:ascii="Times New Roman" w:hAnsi="Times New Roman" w:eastAsia="宋体" w:cs="Times New Roman"/>
      <w:sz w:val="16"/>
      <w:szCs w:val="16"/>
    </w:rPr>
  </w:style>
  <w:style w:type="paragraph" w:customStyle="1" w:styleId="309">
    <w:name w:val="xl66"/>
    <w:basedOn w:val="1"/>
    <w:uiPriority w:val="99"/>
    <w:pPr>
      <w:widowControl/>
      <w:spacing w:before="100" w:beforeAutospacing="1" w:after="100" w:afterAutospacing="1"/>
      <w:jc w:val="left"/>
    </w:pPr>
    <w:rPr>
      <w:rFonts w:ascii="宋体" w:hAnsi="宋体" w:cs="宋体"/>
      <w:b/>
      <w:bCs/>
      <w:kern w:val="0"/>
      <w:sz w:val="20"/>
      <w:szCs w:val="20"/>
    </w:rPr>
  </w:style>
  <w:style w:type="paragraph" w:customStyle="1" w:styleId="310">
    <w:name w:val="TOC 标题1"/>
    <w:basedOn w:val="4"/>
    <w:next w:val="1"/>
    <w:uiPriority w:val="99"/>
    <w:pPr>
      <w:keepNext/>
      <w:keepLines/>
      <w:spacing w:before="240" w:line="259" w:lineRule="auto"/>
      <w:ind w:firstLine="0" w:firstLineChars="0"/>
      <w:outlineLvl w:val="9"/>
    </w:pPr>
    <w:rPr>
      <w:rFonts w:ascii="Calibri Light" w:hAnsi="Calibri Light" w:eastAsia="宋体"/>
      <w:b w:val="0"/>
      <w:bCs w:val="0"/>
      <w:color w:val="2E74B5"/>
      <w:kern w:val="0"/>
      <w:szCs w:val="32"/>
    </w:rPr>
  </w:style>
  <w:style w:type="character" w:customStyle="1" w:styleId="311">
    <w:name w:val="正文文本缩进 2 字符"/>
    <w:basedOn w:val="92"/>
    <w:link w:val="51"/>
    <w:semiHidden/>
    <w:locked/>
    <w:uiPriority w:val="99"/>
    <w:rPr>
      <w:rFonts w:ascii="Times New Roman" w:hAnsi="Times New Roman" w:eastAsia="宋体" w:cs="Times New Roman"/>
    </w:rPr>
  </w:style>
  <w:style w:type="character" w:customStyle="1" w:styleId="312">
    <w:name w:val="正文文本缩进 2 字符1"/>
    <w:basedOn w:val="92"/>
    <w:semiHidden/>
    <w:qFormat/>
    <w:uiPriority w:val="99"/>
    <w:rPr>
      <w:rFonts w:ascii="Times New Roman" w:hAnsi="Times New Roman" w:eastAsia="宋体" w:cs="Times New Roman"/>
    </w:rPr>
  </w:style>
  <w:style w:type="paragraph" w:customStyle="1" w:styleId="313">
    <w:name w:val="xl68"/>
    <w:basedOn w:val="1"/>
    <w:qFormat/>
    <w:uiPriority w:val="99"/>
    <w:pPr>
      <w:widowControl/>
      <w:spacing w:before="100" w:beforeAutospacing="1" w:after="100" w:afterAutospacing="1"/>
      <w:jc w:val="left"/>
      <w:textAlignment w:val="center"/>
    </w:pPr>
    <w:rPr>
      <w:rFonts w:ascii="宋体" w:hAnsi="宋体" w:cs="宋体"/>
      <w:kern w:val="0"/>
      <w:sz w:val="20"/>
      <w:szCs w:val="20"/>
    </w:rPr>
  </w:style>
  <w:style w:type="paragraph" w:customStyle="1" w:styleId="314">
    <w:name w:val="TOC 标题2"/>
    <w:basedOn w:val="4"/>
    <w:next w:val="1"/>
    <w:uiPriority w:val="99"/>
    <w:pPr>
      <w:keepNext/>
      <w:keepLines/>
      <w:spacing w:before="240" w:line="259" w:lineRule="auto"/>
      <w:ind w:firstLine="0" w:firstLineChars="0"/>
      <w:outlineLvl w:val="9"/>
    </w:pPr>
    <w:rPr>
      <w:rFonts w:ascii="Cambria" w:hAnsi="Cambria" w:eastAsia="宋体"/>
      <w:b w:val="0"/>
      <w:bCs w:val="0"/>
      <w:color w:val="365F91"/>
      <w:kern w:val="0"/>
      <w:szCs w:val="32"/>
    </w:rPr>
  </w:style>
  <w:style w:type="character" w:customStyle="1" w:styleId="315">
    <w:name w:val="标题 字符2"/>
    <w:basedOn w:val="92"/>
    <w:link w:val="84"/>
    <w:locked/>
    <w:uiPriority w:val="99"/>
    <w:rPr>
      <w:rFonts w:ascii="Cambria" w:hAnsi="Cambria" w:eastAsia="宋体" w:cs="Times New Roman"/>
      <w:b/>
      <w:bCs/>
      <w:sz w:val="32"/>
      <w:szCs w:val="32"/>
    </w:rPr>
  </w:style>
  <w:style w:type="character" w:customStyle="1" w:styleId="316">
    <w:name w:val="标题 字符3"/>
    <w:basedOn w:val="92"/>
    <w:uiPriority w:val="99"/>
    <w:rPr>
      <w:rFonts w:ascii="等线 Light" w:hAnsi="等线 Light" w:eastAsia="等线 Light" w:cs="Times New Roman"/>
      <w:b/>
      <w:bCs/>
      <w:sz w:val="32"/>
      <w:szCs w:val="32"/>
    </w:rPr>
  </w:style>
  <w:style w:type="paragraph" w:customStyle="1" w:styleId="317">
    <w:name w:val="修订2"/>
    <w:semiHidden/>
    <w:qFormat/>
    <w:uiPriority w:val="99"/>
    <w:rPr>
      <w:rFonts w:ascii="Times New Roman" w:hAnsi="Times New Roman" w:eastAsia="宋体" w:cs="Times New Roman"/>
      <w:kern w:val="2"/>
      <w:sz w:val="21"/>
      <w:szCs w:val="22"/>
      <w:lang w:val="en-US" w:eastAsia="zh-CN" w:bidi="ar-SA"/>
    </w:rPr>
  </w:style>
  <w:style w:type="paragraph" w:customStyle="1" w:styleId="318">
    <w:name w:val="样式 手册正文 + 首行缩进:  2 字符 段前: 0.5 行 段后: 0.5 行"/>
    <w:basedOn w:val="1"/>
    <w:qFormat/>
    <w:uiPriority w:val="99"/>
    <w:pPr>
      <w:spacing w:line="360" w:lineRule="auto"/>
      <w:ind w:firstLine="200" w:firstLineChars="200"/>
    </w:pPr>
    <w:rPr>
      <w:rFonts w:eastAsia="仿宋_GB2312" w:cs="宋体"/>
      <w:sz w:val="24"/>
      <w:szCs w:val="24"/>
    </w:rPr>
  </w:style>
  <w:style w:type="character" w:customStyle="1" w:styleId="319">
    <w:name w:val="副标题 字符"/>
    <w:basedOn w:val="92"/>
    <w:link w:val="64"/>
    <w:locked/>
    <w:uiPriority w:val="99"/>
    <w:rPr>
      <w:rFonts w:ascii="Cambria" w:hAnsi="Cambria" w:eastAsia="宋体" w:cs="Times New Roman"/>
      <w:b/>
      <w:bCs/>
      <w:kern w:val="28"/>
      <w:sz w:val="32"/>
      <w:szCs w:val="32"/>
    </w:rPr>
  </w:style>
  <w:style w:type="character" w:customStyle="1" w:styleId="320">
    <w:name w:val="副标题 字符1"/>
    <w:basedOn w:val="92"/>
    <w:uiPriority w:val="99"/>
    <w:rPr>
      <w:rFonts w:cs="Times New Roman"/>
      <w:b/>
      <w:bCs/>
      <w:kern w:val="28"/>
      <w:sz w:val="32"/>
      <w:szCs w:val="32"/>
    </w:rPr>
  </w:style>
  <w:style w:type="paragraph" w:customStyle="1" w:styleId="321">
    <w:name w:val="a0"/>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322">
    <w:name w:val="正文文本缩进 3 字符"/>
    <w:basedOn w:val="92"/>
    <w:link w:val="70"/>
    <w:semiHidden/>
    <w:locked/>
    <w:uiPriority w:val="99"/>
    <w:rPr>
      <w:rFonts w:ascii="Times New Roman" w:hAnsi="Times New Roman" w:eastAsia="宋体" w:cs="Times New Roman"/>
      <w:sz w:val="16"/>
      <w:szCs w:val="16"/>
    </w:rPr>
  </w:style>
  <w:style w:type="character" w:customStyle="1" w:styleId="323">
    <w:name w:val="正文文本缩进 3 字符1"/>
    <w:basedOn w:val="92"/>
    <w:semiHidden/>
    <w:uiPriority w:val="99"/>
    <w:rPr>
      <w:rFonts w:ascii="Times New Roman" w:hAnsi="Times New Roman" w:eastAsia="宋体" w:cs="Times New Roman"/>
      <w:sz w:val="16"/>
      <w:szCs w:val="16"/>
    </w:rPr>
  </w:style>
  <w:style w:type="paragraph" w:customStyle="1" w:styleId="324">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325">
    <w:name w:val="pt105c"/>
    <w:basedOn w:val="1"/>
    <w:uiPriority w:val="99"/>
    <w:pPr>
      <w:widowControl/>
      <w:spacing w:before="100" w:beforeAutospacing="1" w:after="100" w:afterAutospacing="1"/>
      <w:jc w:val="left"/>
    </w:pPr>
    <w:rPr>
      <w:rFonts w:ascii="宋体" w:hAnsi="宋体" w:cs="宋体"/>
      <w:b/>
      <w:bCs/>
      <w:color w:val="006699"/>
      <w:kern w:val="0"/>
      <w:sz w:val="24"/>
      <w:szCs w:val="24"/>
    </w:rPr>
  </w:style>
  <w:style w:type="paragraph" w:customStyle="1" w:styleId="326">
    <w:name w:val="xl72"/>
    <w:basedOn w:val="1"/>
    <w:qFormat/>
    <w:uiPriority w:val="99"/>
    <w:pPr>
      <w:widowControl/>
      <w:spacing w:before="100" w:beforeAutospacing="1" w:after="100" w:afterAutospacing="1"/>
      <w:jc w:val="center"/>
    </w:pPr>
    <w:rPr>
      <w:rFonts w:ascii="宋体" w:hAnsi="宋体" w:cs="宋体"/>
      <w:b/>
      <w:bCs/>
      <w:kern w:val="0"/>
      <w:sz w:val="24"/>
      <w:szCs w:val="24"/>
    </w:rPr>
  </w:style>
  <w:style w:type="paragraph" w:customStyle="1" w:styleId="327">
    <w:name w:val="font5"/>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328">
    <w:name w:val="xl71"/>
    <w:basedOn w:val="1"/>
    <w:uiPriority w:val="99"/>
    <w:pPr>
      <w:widowControl/>
      <w:spacing w:before="100" w:beforeAutospacing="1" w:after="100" w:afterAutospacing="1"/>
      <w:jc w:val="center"/>
    </w:pPr>
    <w:rPr>
      <w:rFonts w:ascii="宋体" w:hAnsi="宋体" w:cs="宋体"/>
      <w:b/>
      <w:bCs/>
      <w:kern w:val="0"/>
      <w:sz w:val="24"/>
      <w:szCs w:val="24"/>
    </w:rPr>
  </w:style>
  <w:style w:type="character" w:customStyle="1" w:styleId="329">
    <w:name w:val="HTML 预设格式 字符"/>
    <w:basedOn w:val="92"/>
    <w:link w:val="80"/>
    <w:semiHidden/>
    <w:locked/>
    <w:uiPriority w:val="99"/>
    <w:rPr>
      <w:rFonts w:ascii="Courier New" w:hAnsi="Courier New" w:eastAsia="宋体" w:cs="Courier New"/>
      <w:sz w:val="20"/>
      <w:szCs w:val="20"/>
    </w:rPr>
  </w:style>
  <w:style w:type="character" w:customStyle="1" w:styleId="330">
    <w:name w:val="HTML 预设格式 字符1"/>
    <w:basedOn w:val="92"/>
    <w:semiHidden/>
    <w:uiPriority w:val="99"/>
    <w:rPr>
      <w:rFonts w:ascii="Courier New" w:hAnsi="Courier New" w:eastAsia="宋体" w:cs="Courier New"/>
      <w:sz w:val="20"/>
      <w:szCs w:val="20"/>
    </w:rPr>
  </w:style>
  <w:style w:type="paragraph" w:customStyle="1" w:styleId="331">
    <w:name w:val="样式 样式 手册正文 + 首行缩进:  2 字符 段前: 0.5 行 段后: 0.5 行 + 首行缩进:  2 字符"/>
    <w:basedOn w:val="318"/>
    <w:uiPriority w:val="99"/>
    <w:pPr>
      <w:ind w:firstLine="480"/>
    </w:pPr>
    <w:rPr>
      <w:rFonts w:eastAsia="宋体"/>
      <w:sz w:val="21"/>
      <w:szCs w:val="20"/>
    </w:rPr>
  </w:style>
  <w:style w:type="paragraph" w:customStyle="1" w:styleId="332">
    <w:name w:val="样式2"/>
    <w:basedOn w:val="55"/>
    <w:uiPriority w:val="99"/>
    <w:rPr>
      <w:sz w:val="28"/>
    </w:rPr>
  </w:style>
  <w:style w:type="paragraph" w:customStyle="1" w:styleId="333">
    <w:name w:val="TOC 标题3"/>
    <w:basedOn w:val="4"/>
    <w:next w:val="1"/>
    <w:uiPriority w:val="99"/>
    <w:pPr>
      <w:keepNext/>
      <w:keepLines/>
      <w:spacing w:before="240" w:line="259" w:lineRule="auto"/>
      <w:ind w:firstLine="0" w:firstLineChars="0"/>
      <w:outlineLvl w:val="9"/>
    </w:pPr>
    <w:rPr>
      <w:rFonts w:ascii="Cambria" w:hAnsi="Cambria" w:eastAsia="宋体"/>
      <w:b w:val="0"/>
      <w:bCs w:val="0"/>
      <w:color w:val="365F91"/>
      <w:kern w:val="0"/>
      <w:szCs w:val="32"/>
    </w:rPr>
  </w:style>
  <w:style w:type="paragraph" w:customStyle="1" w:styleId="334">
    <w:name w:val="xl65"/>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35">
    <w:name w:val="m标题2"/>
    <w:basedOn w:val="5"/>
    <w:semiHidden/>
    <w:uiPriority w:val="99"/>
    <w:pPr>
      <w:tabs>
        <w:tab w:val="left" w:pos="0"/>
      </w:tabs>
      <w:spacing w:beforeLines="50" w:afterLines="50" w:line="360" w:lineRule="auto"/>
      <w:jc w:val="center"/>
    </w:pPr>
    <w:rPr>
      <w:rFonts w:ascii="Arial" w:hAnsi="Arial"/>
      <w:bCs w:val="0"/>
      <w:lang w:val="zh-CN"/>
    </w:rPr>
  </w:style>
  <w:style w:type="paragraph" w:customStyle="1" w:styleId="336">
    <w:name w:val="标题2 节"/>
    <w:uiPriority w:val="99"/>
    <w:pPr>
      <w:numPr>
        <w:ilvl w:val="2"/>
        <w:numId w:val="8"/>
      </w:numPr>
      <w:spacing w:before="240" w:after="240"/>
      <w:ind w:left="2552" w:firstLine="0"/>
      <w:jc w:val="center"/>
    </w:pPr>
    <w:rPr>
      <w:rFonts w:ascii="Times New Roman" w:hAnsi="Times New Roman" w:eastAsia="宋体" w:cs="宋体"/>
      <w:b/>
      <w:bCs/>
      <w:kern w:val="2"/>
      <w:sz w:val="32"/>
      <w:szCs w:val="20"/>
      <w:lang w:val="en-US" w:eastAsia="zh-CN" w:bidi="ar-SA"/>
    </w:rPr>
  </w:style>
  <w:style w:type="paragraph" w:customStyle="1" w:styleId="337">
    <w:name w:val="xl73"/>
    <w:basedOn w:val="1"/>
    <w:uiPriority w:val="99"/>
    <w:pPr>
      <w:widowControl/>
      <w:spacing w:before="100" w:beforeAutospacing="1" w:after="100" w:afterAutospacing="1"/>
      <w:jc w:val="center"/>
    </w:pPr>
    <w:rPr>
      <w:rFonts w:ascii="宋体" w:hAnsi="宋体" w:cs="宋体"/>
      <w:b/>
      <w:bCs/>
      <w:kern w:val="0"/>
      <w:sz w:val="24"/>
      <w:szCs w:val="24"/>
    </w:rPr>
  </w:style>
  <w:style w:type="paragraph" w:customStyle="1" w:styleId="338">
    <w:name w:val="p_text_indent_2"/>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339">
    <w:name w:val="xl67"/>
    <w:basedOn w:val="1"/>
    <w:uiPriority w:val="99"/>
    <w:pPr>
      <w:widowControl/>
      <w:spacing w:before="100" w:beforeAutospacing="1" w:after="100" w:afterAutospacing="1"/>
      <w:jc w:val="left"/>
      <w:textAlignment w:val="center"/>
    </w:pPr>
    <w:rPr>
      <w:rFonts w:ascii="宋体" w:hAnsi="宋体" w:cs="宋体"/>
      <w:kern w:val="0"/>
      <w:sz w:val="20"/>
      <w:szCs w:val="20"/>
    </w:rPr>
  </w:style>
  <w:style w:type="table" w:customStyle="1" w:styleId="340">
    <w:name w:val="网格型13"/>
    <w:qFormat/>
    <w:uiPriority w:val="99"/>
    <w:rPr>
      <w:rFonts w:ascii="Times New Roman" w:hAnsi="Times New Roman" w:eastAsia="宋体"/>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41">
    <w:name w:val="流行型_含合并单元格11"/>
    <w:basedOn w:val="91"/>
    <w:uiPriority w:val="99"/>
    <w:tblStylePr w:type="firstRow">
      <w:rPr>
        <w:rFonts w:cs="Times New Roman"/>
        <w:b/>
        <w:bCs/>
        <w:color w:val="auto"/>
      </w:r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cPr>
        <w:tcBorders>
          <w:top w:val="nil"/>
          <w:left w:val="nil"/>
          <w:bottom w:val="nil"/>
          <w:right w:val="nil"/>
          <w:insideH w:val="nil"/>
          <w:insideV w:val="nil"/>
          <w:tl2br w:val="nil"/>
          <w:tr2bl w:val="nil"/>
        </w:tcBorders>
        <w:shd w:val="pct20" w:color="000000" w:fill="FFFFFF"/>
      </w:tcPr>
    </w:tblStylePr>
  </w:style>
  <w:style w:type="table" w:customStyle="1" w:styleId="342">
    <w:name w:val="报告表格1"/>
    <w:uiPriority w:val="99"/>
    <w:pPr>
      <w:jc w:val="center"/>
    </w:pPr>
    <w:rPr>
      <w:rFonts w:ascii="Arial" w:hAnsi="Arial" w:cs="Arial"/>
      <w:kern w:val="0"/>
      <w:sz w:val="20"/>
      <w:szCs w:val="20"/>
    </w:rPr>
    <w:tblPr>
      <w:tblCellMar>
        <w:top w:w="0" w:type="dxa"/>
        <w:left w:w="108" w:type="dxa"/>
        <w:bottom w:w="0" w:type="dxa"/>
        <w:right w:w="108" w:type="dxa"/>
      </w:tblCellMar>
    </w:tblPr>
  </w:style>
  <w:style w:type="table" w:customStyle="1" w:styleId="343">
    <w:name w:val="网格表 4 - 着色 51"/>
    <w:uiPriority w:val="99"/>
    <w:rPr>
      <w:rFonts w:ascii="Times New Roman" w:hAnsi="Times New Roman" w:eastAsia="宋体"/>
      <w:kern w:val="0"/>
      <w:sz w:val="20"/>
      <w:szCs w:val="20"/>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style>
  <w:style w:type="table" w:customStyle="1" w:styleId="344">
    <w:name w:val="流行型_含合并单元格111"/>
    <w:basedOn w:val="91"/>
    <w:uiPriority w:val="99"/>
    <w:tblStylePr w:type="firstRow">
      <w:pPr>
        <w:jc w:val="center"/>
      </w:pPr>
      <w:rPr>
        <w:rFonts w:eastAsia="Times New Roman" w:cs="Times New Roman"/>
        <w:b/>
        <w:bCs/>
        <w:i w:val="0"/>
        <w:color w:val="auto"/>
        <w:sz w:val="21"/>
      </w:rPr>
      <w:tcPr>
        <w:tcBorders>
          <w:top w:val="nil"/>
          <w:left w:val="nil"/>
          <w:bottom w:val="nil"/>
          <w:right w:val="nil"/>
          <w:insideH w:val="nil"/>
          <w:insideV w:val="nil"/>
          <w:tl2br w:val="nil"/>
          <w:tr2bl w:val="nil"/>
        </w:tcBorders>
        <w:shd w:val="clear" w:color="000000" w:fill="B3B3B3"/>
      </w:tcPr>
    </w:tblStylePr>
    <w:tblStylePr w:type="band1Horz">
      <w:rPr>
        <w:rFonts w:cs="Times New Roman"/>
        <w:color w:val="auto"/>
      </w:r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cPr>
        <w:tcBorders>
          <w:top w:val="nil"/>
          <w:left w:val="nil"/>
          <w:bottom w:val="nil"/>
          <w:right w:val="nil"/>
          <w:insideH w:val="nil"/>
          <w:insideV w:val="nil"/>
          <w:tl2br w:val="nil"/>
          <w:tr2bl w:val="nil"/>
        </w:tcBorders>
        <w:shd w:val="pct20" w:color="000000" w:fill="FFFFFF"/>
      </w:tcPr>
    </w:tblStylePr>
  </w:style>
  <w:style w:type="table" w:customStyle="1" w:styleId="345">
    <w:name w:val="网格表 1 浅色1"/>
    <w:qFormat/>
    <w:uiPriority w:val="99"/>
    <w:rPr>
      <w:rFonts w:ascii="Times New Roman" w:hAnsi="Times New Roman" w:eastAsia="宋体"/>
      <w:kern w:val="0"/>
      <w:sz w:val="20"/>
      <w:szCs w:val="20"/>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style>
  <w:style w:type="table" w:customStyle="1" w:styleId="346">
    <w:name w:val="网格型14"/>
    <w:uiPriority w:val="99"/>
    <w:rPr>
      <w:rFonts w:ascii="Times New Roman" w:hAnsi="Times New Roman" w:eastAsia="宋体"/>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47">
    <w:name w:val="流行型_含合并单元格21"/>
    <w:basedOn w:val="91"/>
    <w:uiPriority w:val="99"/>
    <w:tblStylePr w:type="firstRow">
      <w:pPr>
        <w:jc w:val="center"/>
      </w:pPr>
      <w:rPr>
        <w:rFonts w:eastAsia="Times New Roman" w:cs="Times New Roman"/>
        <w:b/>
        <w:bCs/>
        <w:i w:val="0"/>
        <w:color w:val="auto"/>
        <w:sz w:val="21"/>
      </w:rPr>
      <w:tcPr>
        <w:tcBorders>
          <w:top w:val="nil"/>
          <w:left w:val="nil"/>
          <w:bottom w:val="nil"/>
          <w:right w:val="nil"/>
          <w:insideH w:val="nil"/>
          <w:insideV w:val="nil"/>
          <w:tl2br w:val="nil"/>
          <w:tr2bl w:val="nil"/>
        </w:tcBorders>
        <w:shd w:val="clear" w:color="000000" w:fill="B3B3B3"/>
      </w:tcPr>
    </w:tblStylePr>
    <w:tblStylePr w:type="band1Horz">
      <w:rPr>
        <w:rFonts w:cs="Times New Roman"/>
        <w:color w:val="auto"/>
      </w:r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cPr>
        <w:tcBorders>
          <w:top w:val="nil"/>
          <w:left w:val="nil"/>
          <w:bottom w:val="nil"/>
          <w:right w:val="nil"/>
          <w:insideH w:val="nil"/>
          <w:insideV w:val="nil"/>
          <w:tl2br w:val="nil"/>
          <w:tr2bl w:val="nil"/>
        </w:tcBorders>
        <w:shd w:val="pct20" w:color="000000" w:fill="FFFFFF"/>
      </w:tcPr>
    </w:tblStylePr>
  </w:style>
  <w:style w:type="table" w:customStyle="1" w:styleId="348">
    <w:name w:val="网格型3"/>
    <w:uiPriority w:val="99"/>
    <w:rPr>
      <w:rFonts w:ascii="Times New Roman" w:hAnsi="Times New Roman" w:eastAsia="宋体"/>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49">
    <w:name w:val="表格11"/>
    <w:uiPriority w:val="99"/>
    <w:pPr>
      <w:spacing w:line="300" w:lineRule="auto"/>
      <w:jc w:val="center"/>
    </w:pPr>
    <w:rPr>
      <w:rFonts w:ascii="Times New Roman" w:hAnsi="Times New Roman" w:eastAsia="宋体"/>
      <w:kern w:val="0"/>
      <w:sz w:val="20"/>
      <w:szCs w:val="20"/>
    </w:rPr>
    <w:tblP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108" w:type="dxa"/>
        <w:bottom w:w="0" w:type="dxa"/>
        <w:right w:w="108" w:type="dxa"/>
      </w:tblCellMar>
    </w:tblPr>
  </w:style>
  <w:style w:type="table" w:customStyle="1" w:styleId="350">
    <w:name w:val="表格12"/>
    <w:uiPriority w:val="99"/>
    <w:pPr>
      <w:spacing w:line="300" w:lineRule="auto"/>
      <w:jc w:val="center"/>
    </w:pPr>
    <w:rPr>
      <w:rFonts w:ascii="Times New Roman" w:hAnsi="Times New Roman" w:eastAsia="宋体"/>
      <w:kern w:val="0"/>
      <w:sz w:val="20"/>
      <w:szCs w:val="20"/>
    </w:rPr>
    <w:tblP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108" w:type="dxa"/>
        <w:bottom w:w="0" w:type="dxa"/>
        <w:right w:w="108" w:type="dxa"/>
      </w:tblCellMar>
    </w:tblPr>
  </w:style>
  <w:style w:type="table" w:customStyle="1" w:styleId="351">
    <w:name w:val="网格型1"/>
    <w:qFormat/>
    <w:uiPriority w:val="99"/>
    <w:rPr>
      <w:rFonts w:ascii="Calibri" w:hAnsi="Calibri" w:eastAsia="宋体"/>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52">
    <w:name w:val="网格表 4 - 着色 52"/>
    <w:qFormat/>
    <w:uiPriority w:val="99"/>
    <w:rPr>
      <w:rFonts w:ascii="Times New Roman" w:hAnsi="Times New Roman" w:eastAsia="宋体"/>
      <w:kern w:val="0"/>
      <w:sz w:val="20"/>
      <w:szCs w:val="20"/>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style>
  <w:style w:type="table" w:customStyle="1" w:styleId="353">
    <w:name w:val="表格111"/>
    <w:uiPriority w:val="99"/>
    <w:pPr>
      <w:spacing w:line="300" w:lineRule="auto"/>
      <w:jc w:val="center"/>
    </w:pPr>
    <w:rPr>
      <w:rFonts w:ascii="Times New Roman" w:hAnsi="Times New Roman" w:eastAsia="宋体"/>
      <w:kern w:val="0"/>
      <w:sz w:val="20"/>
      <w:szCs w:val="20"/>
    </w:rPr>
    <w:tblP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108" w:type="dxa"/>
        <w:bottom w:w="0" w:type="dxa"/>
        <w:right w:w="108" w:type="dxa"/>
      </w:tblCellMar>
    </w:tblPr>
  </w:style>
  <w:style w:type="table" w:customStyle="1" w:styleId="354">
    <w:name w:val="流行型_含合并单元格3"/>
    <w:basedOn w:val="91"/>
    <w:uiPriority w:val="99"/>
    <w:tblStylePr w:type="firstRow">
      <w:pPr>
        <w:jc w:val="center"/>
      </w:pPr>
      <w:rPr>
        <w:rFonts w:eastAsia="Times New Roman" w:cs="Times New Roman"/>
        <w:b/>
        <w:bCs/>
        <w:i w:val="0"/>
        <w:color w:val="auto"/>
        <w:sz w:val="21"/>
      </w:rPr>
      <w:tcPr>
        <w:tcBorders>
          <w:top w:val="nil"/>
          <w:left w:val="nil"/>
          <w:bottom w:val="nil"/>
          <w:right w:val="nil"/>
          <w:insideH w:val="nil"/>
          <w:insideV w:val="nil"/>
          <w:tl2br w:val="nil"/>
          <w:tr2bl w:val="nil"/>
        </w:tcBorders>
        <w:shd w:val="clear" w:color="000000" w:fill="B3B3B3"/>
      </w:tcPr>
    </w:tblStylePr>
    <w:tblStylePr w:type="band1Horz">
      <w:rPr>
        <w:rFonts w:cs="Times New Roman"/>
        <w:color w:val="auto"/>
      </w:r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cPr>
        <w:tcBorders>
          <w:top w:val="nil"/>
          <w:left w:val="nil"/>
          <w:bottom w:val="nil"/>
          <w:right w:val="nil"/>
          <w:insideH w:val="nil"/>
          <w:insideV w:val="nil"/>
          <w:tl2br w:val="nil"/>
          <w:tr2bl w:val="nil"/>
        </w:tcBorders>
        <w:shd w:val="pct20" w:color="000000" w:fill="FFFFFF"/>
      </w:tcPr>
    </w:tblStylePr>
  </w:style>
  <w:style w:type="table" w:customStyle="1" w:styleId="355">
    <w:name w:val="表格1"/>
    <w:qFormat/>
    <w:uiPriority w:val="99"/>
    <w:pPr>
      <w:spacing w:line="320" w:lineRule="exact"/>
      <w:jc w:val="center"/>
    </w:pPr>
    <w:rPr>
      <w:rFonts w:ascii="Times New Roman" w:hAnsi="Times New Roman"/>
      <w:kern w:val="0"/>
      <w:sz w:val="20"/>
      <w:szCs w:val="20"/>
    </w:rPr>
    <w:tblP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108" w:type="dxa"/>
        <w:bottom w:w="0" w:type="dxa"/>
        <w:right w:w="108" w:type="dxa"/>
      </w:tblCellMar>
    </w:tblPr>
  </w:style>
  <w:style w:type="table" w:customStyle="1" w:styleId="356">
    <w:name w:val="流行型_含合并单元格2"/>
    <w:basedOn w:val="91"/>
    <w:qFormat/>
    <w:uiPriority w:val="99"/>
    <w:tblStylePr w:type="firstRow">
      <w:rPr>
        <w:rFonts w:cs="Times New Roman"/>
        <w:b/>
        <w:bCs/>
        <w:color w:val="auto"/>
      </w:r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cPr>
        <w:tcBorders>
          <w:top w:val="nil"/>
          <w:left w:val="nil"/>
          <w:bottom w:val="nil"/>
          <w:right w:val="nil"/>
          <w:insideH w:val="nil"/>
          <w:insideV w:val="nil"/>
          <w:tl2br w:val="nil"/>
          <w:tr2bl w:val="nil"/>
        </w:tcBorders>
        <w:shd w:val="pct20" w:color="000000" w:fill="FFFFFF"/>
      </w:tcPr>
    </w:tblStylePr>
  </w:style>
  <w:style w:type="table" w:customStyle="1" w:styleId="357">
    <w:name w:val="流行型_含合并单元格1"/>
    <w:basedOn w:val="91"/>
    <w:uiPriority w:val="99"/>
    <w:tblStylePr w:type="firstRow">
      <w:rPr>
        <w:rFonts w:cs="Times New Roman"/>
        <w:b/>
        <w:bCs/>
        <w:color w:val="auto"/>
      </w:r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cPr>
        <w:tcBorders>
          <w:top w:val="nil"/>
          <w:left w:val="nil"/>
          <w:bottom w:val="nil"/>
          <w:right w:val="nil"/>
          <w:insideH w:val="nil"/>
          <w:insideV w:val="nil"/>
          <w:tl2br w:val="nil"/>
          <w:tr2bl w:val="nil"/>
        </w:tcBorders>
        <w:shd w:val="pct20" w:color="000000" w:fill="FFFFFF"/>
      </w:tcPr>
    </w:tblStylePr>
  </w:style>
  <w:style w:type="table" w:customStyle="1" w:styleId="358">
    <w:name w:val="流行型_含合并单元格"/>
    <w:basedOn w:val="91"/>
    <w:uiPriority w:val="99"/>
    <w:tblStylePr w:type="firstRow">
      <w:rPr>
        <w:rFonts w:cs="Times New Roman"/>
        <w:b/>
        <w:bCs/>
        <w:color w:val="auto"/>
      </w:r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cPr>
        <w:tcBorders>
          <w:top w:val="nil"/>
          <w:left w:val="nil"/>
          <w:bottom w:val="nil"/>
          <w:right w:val="nil"/>
          <w:insideH w:val="nil"/>
          <w:insideV w:val="nil"/>
          <w:tl2br w:val="nil"/>
          <w:tr2bl w:val="nil"/>
        </w:tcBorders>
        <w:shd w:val="pct20" w:color="000000" w:fill="FFFFFF"/>
      </w:tcPr>
    </w:tblStylePr>
  </w:style>
  <w:style w:type="table" w:customStyle="1" w:styleId="359">
    <w:name w:val="网格型5"/>
    <w:uiPriority w:val="99"/>
    <w:rPr>
      <w:rFonts w:ascii="Times New Roman" w:hAnsi="Times New Roman" w:eastAsia="宋体"/>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0">
    <w:name w:val="流行型_含合并单元格12"/>
    <w:basedOn w:val="91"/>
    <w:uiPriority w:val="99"/>
    <w:tblStylePr w:type="firstRow">
      <w:pPr>
        <w:jc w:val="center"/>
      </w:pPr>
      <w:rPr>
        <w:rFonts w:eastAsia="Times New Roman" w:cs="Times New Roman"/>
        <w:b/>
        <w:bCs/>
        <w:i w:val="0"/>
        <w:color w:val="auto"/>
        <w:sz w:val="21"/>
      </w:rPr>
      <w:tcPr>
        <w:tcBorders>
          <w:top w:val="nil"/>
          <w:left w:val="nil"/>
          <w:bottom w:val="nil"/>
          <w:right w:val="nil"/>
          <w:insideH w:val="nil"/>
          <w:insideV w:val="nil"/>
          <w:tl2br w:val="nil"/>
          <w:tr2bl w:val="nil"/>
        </w:tcBorders>
        <w:shd w:val="clear" w:color="000000" w:fill="B3B3B3"/>
      </w:tcPr>
    </w:tblStylePr>
    <w:tblStylePr w:type="band1Horz">
      <w:rPr>
        <w:rFonts w:cs="Times New Roman"/>
        <w:color w:val="auto"/>
      </w:r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cPr>
        <w:tcBorders>
          <w:top w:val="nil"/>
          <w:left w:val="nil"/>
          <w:bottom w:val="nil"/>
          <w:right w:val="nil"/>
          <w:insideH w:val="nil"/>
          <w:insideV w:val="nil"/>
          <w:tl2br w:val="nil"/>
          <w:tr2bl w:val="nil"/>
        </w:tcBorders>
        <w:shd w:val="pct20" w:color="000000" w:fill="FFFFFF"/>
      </w:tcPr>
    </w:tblStylePr>
  </w:style>
  <w:style w:type="table" w:customStyle="1" w:styleId="361">
    <w:name w:val="网格型11"/>
    <w:uiPriority w:val="99"/>
    <w:rPr>
      <w:rFonts w:ascii="Times New Roman" w:hAnsi="Times New Roman" w:eastAsia="宋体"/>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62">
    <w:name w:val="网格型6"/>
    <w:uiPriority w:val="99"/>
    <w:rPr>
      <w:rFonts w:ascii="Times New Roman" w:hAnsi="Times New Roman" w:eastAsia="宋体"/>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3">
    <w:name w:val="网格型12"/>
    <w:uiPriority w:val="99"/>
    <w:rPr>
      <w:rFonts w:ascii="Times New Roman" w:hAnsi="Times New Roman" w:eastAsia="宋体"/>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64">
    <w:name w:val="网格型4"/>
    <w:qFormat/>
    <w:uiPriority w:val="99"/>
    <w:rPr>
      <w:rFonts w:ascii="Times New Roman" w:hAnsi="Times New Roman" w:eastAsia="宋体"/>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5">
    <w:name w:val="网格型2"/>
    <w:uiPriority w:val="99"/>
    <w:rPr>
      <w:rFonts w:ascii="Times New Roman" w:hAnsi="Times New Roman" w:eastAsia="宋体"/>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60</Pages>
  <Words>4796</Words>
  <Characters>27339</Characters>
  <Lines>227</Lines>
  <Paragraphs>64</Paragraphs>
  <TotalTime>15</TotalTime>
  <ScaleCrop>false</ScaleCrop>
  <LinksUpToDate>false</LinksUpToDate>
  <CharactersWithSpaces>32071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2023-02-02T09:10:00Z</dcterms:created>
  <dc:creator>任雯君</dc:creator>
  <cp:lastModifiedBy>莫东芳</cp:lastModifiedBy>
  <cp:lastPrinted>2023-02-22T08:29:00Z</cp:lastPrinted>
  <dcterms:modified xsi:type="dcterms:W3CDTF">2023-10-23T08:05:59Z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AEA1CC3D27C242628C1F37CD503DA1D3_12</vt:lpwstr>
  </property>
</Properties>
</file>